
<file path=[Content_Types].xml><?xml version="1.0" encoding="utf-8"?>
<Types xmlns="http://schemas.openxmlformats.org/package/2006/content-types">
  <Default Extension="xml" ContentType="application/xml"/>
  <Default Extension="bin" ContentType="application/vnd.openxmlformats-officedocument.oleObject"/>
  <Default Extension="tiff" ContentType="image/tiff"/>
  <Default Extension="emf" ContentType="image/x-e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0"/>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613EE1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027D835">
            <w:pPr>
              <w:pStyle w:val="19"/>
              <w:framePr w:wrap="notBeside" w:vAnchor="page" w:hAnchor="page" w:x="1372" w:y="568"/>
              <w:tabs>
                <w:tab w:val="clear" w:pos="4153"/>
                <w:tab w:val="clear" w:pos="8306"/>
              </w:tabs>
              <w:spacing w:line="240" w:lineRule="auto"/>
              <w:jc w:val="left"/>
              <w:rPr>
                <w:rFonts w:ascii="黑体" w:hAnsi="黑体" w:eastAsia="黑体"/>
                <w:color w:val="000000" w:themeColor="text1"/>
                <w:sz w:val="21"/>
                <w:szCs w:val="21"/>
                <w14:textFill>
                  <w14:solidFill>
                    <w14:schemeClr w14:val="tx1"/>
                  </w14:solidFill>
                </w14:textFill>
              </w:rPr>
            </w:pPr>
            <w:r>
              <w:rPr>
                <w:rFonts w:ascii="Times New Roman" w:hAnsi="Times New Roman" w:eastAsia="黑体"/>
                <w:color w:val="000000" w:themeColor="text1"/>
                <w:sz w:val="21"/>
                <w:szCs w:val="21"/>
                <w14:textFill>
                  <w14:solidFill>
                    <w14:schemeClr w14:val="tx1"/>
                  </w14:solidFill>
                </w14:textFill>
              </w:rPr>
              <w:t>ICS</w:t>
            </w:r>
            <w:r>
              <w:rPr>
                <w:rFonts w:ascii="黑体" w:hAnsi="黑体" w:eastAsia="黑体"/>
                <w:color w:val="000000" w:themeColor="text1"/>
                <w:sz w:val="21"/>
                <w:szCs w:val="21"/>
                <w14:textFill>
                  <w14:solidFill>
                    <w14:schemeClr w14:val="tx1"/>
                  </w14:solidFill>
                </w14:textFill>
              </w:rPr>
              <w:t xml:space="preserve">  </w:t>
            </w:r>
          </w:p>
        </w:tc>
        <w:tc>
          <w:tcPr>
            <w:tcW w:w="8855" w:type="dxa"/>
          </w:tcPr>
          <w:p w14:paraId="2A1BEC43">
            <w:pPr>
              <w:pStyle w:val="19"/>
              <w:framePr w:wrap="notBeside" w:vAnchor="page" w:hAnchor="page" w:x="1372" w:y="568"/>
              <w:tabs>
                <w:tab w:val="clear" w:pos="4153"/>
                <w:tab w:val="clear" w:pos="8306"/>
              </w:tabs>
              <w:spacing w:line="240" w:lineRule="auto"/>
              <w:jc w:val="both"/>
              <w:rPr>
                <w:rFonts w:ascii="黑体" w:hAnsi="黑体" w:eastAsia="黑体"/>
                <w:color w:val="000000" w:themeColor="text1"/>
                <w:sz w:val="21"/>
                <w:szCs w:val="21"/>
                <w14:textFill>
                  <w14:solidFill>
                    <w14:schemeClr w14:val="tx1"/>
                  </w14:solidFill>
                </w14:textFill>
              </w:rPr>
            </w:pPr>
            <w:r>
              <w:rPr>
                <w:rFonts w:ascii="黑体" w:hAnsi="黑体" w:eastAsia="黑体"/>
                <w:color w:val="000000" w:themeColor="text1"/>
                <w:sz w:val="21"/>
                <w:szCs w:val="21"/>
                <w14:textFill>
                  <w14:solidFill>
                    <w14:schemeClr w14:val="tx1"/>
                  </w14:solidFill>
                </w14:textFill>
              </w:rPr>
              <w:fldChar w:fldCharType="begin">
                <w:ffData>
                  <w:name w:val="ICS"/>
                  <w:enabled/>
                  <w:calcOnExit w:val="0"/>
                  <w:textInput>
                    <w:default w:val="点击此处添加ICS号"/>
                  </w:textInput>
                </w:ffData>
              </w:fldChar>
            </w:r>
            <w:bookmarkStart w:id="0" w:name="ICS"/>
            <w:r>
              <w:rPr>
                <w:rFonts w:ascii="黑体" w:hAnsi="黑体" w:eastAsia="黑体"/>
                <w:color w:val="000000" w:themeColor="text1"/>
                <w:sz w:val="21"/>
                <w:szCs w:val="21"/>
                <w14:textFill>
                  <w14:solidFill>
                    <w14:schemeClr w14:val="tx1"/>
                  </w14:solidFill>
                </w14:textFill>
              </w:rPr>
              <w:instrText xml:space="preserve"> FORMTEXT </w:instrText>
            </w:r>
            <w:r>
              <w:rPr>
                <w:rFonts w:ascii="黑体" w:hAnsi="黑体" w:eastAsia="黑体"/>
                <w:color w:val="000000" w:themeColor="text1"/>
                <w:sz w:val="21"/>
                <w:szCs w:val="21"/>
                <w14:textFill>
                  <w14:solidFill>
                    <w14:schemeClr w14:val="tx1"/>
                  </w14:solidFill>
                </w14:textFill>
              </w:rPr>
              <w:fldChar w:fldCharType="separate"/>
            </w:r>
            <w:r>
              <w:rPr>
                <w:rFonts w:ascii="黑体" w:hAnsi="黑体" w:eastAsia="黑体"/>
                <w:color w:val="000000" w:themeColor="text1"/>
                <w:sz w:val="21"/>
                <w:szCs w:val="21"/>
                <w14:textFill>
                  <w14:solidFill>
                    <w14:schemeClr w14:val="tx1"/>
                  </w14:solidFill>
                </w14:textFill>
              </w:rPr>
              <w:t xml:space="preserve">01.140.20 </w:t>
            </w:r>
            <w:r>
              <w:rPr>
                <w:rFonts w:ascii="黑体" w:hAnsi="黑体" w:eastAsia="黑体"/>
                <w:color w:val="000000" w:themeColor="text1"/>
                <w:sz w:val="21"/>
                <w:szCs w:val="21"/>
                <w14:textFill>
                  <w14:solidFill>
                    <w14:schemeClr w14:val="tx1"/>
                  </w14:solidFill>
                </w14:textFill>
              </w:rPr>
              <w:fldChar w:fldCharType="end"/>
            </w:r>
            <w:bookmarkEnd w:id="0"/>
          </w:p>
        </w:tc>
      </w:tr>
      <w:tr w14:paraId="6FA216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D22BC88">
            <w:pPr>
              <w:pStyle w:val="19"/>
              <w:framePr w:wrap="notBeside" w:vAnchor="page" w:hAnchor="page" w:x="1372" w:y="568"/>
              <w:tabs>
                <w:tab w:val="clear" w:pos="4153"/>
                <w:tab w:val="clear" w:pos="8306"/>
              </w:tabs>
              <w:spacing w:before="40" w:line="240" w:lineRule="auto"/>
              <w:jc w:val="left"/>
              <w:rPr>
                <w:rFonts w:ascii="黑体" w:hAnsi="黑体" w:eastAsia="黑体"/>
                <w:color w:val="000000" w:themeColor="text1"/>
                <w:sz w:val="21"/>
                <w:szCs w:val="21"/>
                <w14:textFill>
                  <w14:solidFill>
                    <w14:schemeClr w14:val="tx1"/>
                  </w14:solidFill>
                </w14:textFill>
              </w:rPr>
            </w:pPr>
            <w:r>
              <w:rPr>
                <w:rFonts w:ascii="Times New Roman" w:hAnsi="Times New Roman" w:eastAsia="黑体"/>
                <w:color w:val="000000" w:themeColor="text1"/>
                <w:sz w:val="21"/>
                <w:szCs w:val="21"/>
                <w14:textFill>
                  <w14:solidFill>
                    <w14:schemeClr w14:val="tx1"/>
                  </w14:solidFill>
                </w14:textFill>
              </w:rPr>
              <w:t xml:space="preserve">CCS </w:t>
            </w:r>
            <w:r>
              <w:rPr>
                <w:rFonts w:ascii="黑体" w:hAnsi="黑体" w:eastAsia="黑体"/>
                <w:color w:val="000000" w:themeColor="text1"/>
                <w:sz w:val="21"/>
                <w:szCs w:val="21"/>
                <w14:textFill>
                  <w14:solidFill>
                    <w14:schemeClr w14:val="tx1"/>
                  </w14:solidFill>
                </w14:textFill>
              </w:rPr>
              <w:t xml:space="preserve"> </w:t>
            </w:r>
          </w:p>
        </w:tc>
        <w:tc>
          <w:tcPr>
            <w:tcW w:w="8855" w:type="dxa"/>
          </w:tcPr>
          <w:p w14:paraId="324CFD11">
            <w:pPr>
              <w:pStyle w:val="19"/>
              <w:framePr w:wrap="notBeside" w:vAnchor="page" w:hAnchor="page" w:x="1372" w:y="568"/>
              <w:tabs>
                <w:tab w:val="clear" w:pos="4153"/>
                <w:tab w:val="clear" w:pos="8306"/>
              </w:tabs>
              <w:spacing w:before="40" w:line="240" w:lineRule="auto"/>
              <w:jc w:val="left"/>
              <w:rPr>
                <w:rFonts w:ascii="黑体" w:hAnsi="黑体" w:eastAsia="黑体"/>
                <w:color w:val="000000" w:themeColor="text1"/>
                <w:sz w:val="21"/>
                <w:szCs w:val="21"/>
                <w14:textFill>
                  <w14:solidFill>
                    <w14:schemeClr w14:val="tx1"/>
                  </w14:solidFill>
                </w14:textFill>
              </w:rPr>
            </w:pPr>
            <w:r>
              <w:rPr>
                <w:rFonts w:ascii="黑体" w:hAnsi="黑体" w:eastAsia="黑体"/>
                <w:color w:val="000000" w:themeColor="text1"/>
                <w:sz w:val="21"/>
                <w:szCs w:val="21"/>
                <w14:textFill>
                  <w14:solidFill>
                    <w14:schemeClr w14:val="tx1"/>
                  </w14:solidFill>
                </w14:textFill>
              </w:rPr>
              <w:fldChar w:fldCharType="begin">
                <w:ffData>
                  <w:name w:val="CSDN"/>
                  <w:enabled/>
                  <w:calcOnExit w:val="0"/>
                  <w:textInput>
                    <w:default w:val="点击此处添加CCS号"/>
                  </w:textInput>
                </w:ffData>
              </w:fldChar>
            </w:r>
            <w:bookmarkStart w:id="1" w:name="CSDN"/>
            <w:r>
              <w:rPr>
                <w:rFonts w:ascii="黑体" w:hAnsi="黑体" w:eastAsia="黑体"/>
                <w:color w:val="000000" w:themeColor="text1"/>
                <w:sz w:val="21"/>
                <w:szCs w:val="21"/>
                <w14:textFill>
                  <w14:solidFill>
                    <w14:schemeClr w14:val="tx1"/>
                  </w14:solidFill>
                </w14:textFill>
              </w:rPr>
              <w:instrText xml:space="preserve"> FORMTEXT </w:instrText>
            </w:r>
            <w:r>
              <w:rPr>
                <w:rFonts w:ascii="黑体" w:hAnsi="黑体" w:eastAsia="黑体"/>
                <w:color w:val="000000" w:themeColor="text1"/>
                <w:sz w:val="21"/>
                <w:szCs w:val="21"/>
                <w14:textFill>
                  <w14:solidFill>
                    <w14:schemeClr w14:val="tx1"/>
                  </w14:solidFill>
                </w14:textFill>
              </w:rPr>
              <w:fldChar w:fldCharType="separate"/>
            </w:r>
            <w:r>
              <w:rPr>
                <w:rFonts w:hint="eastAsia" w:ascii="黑体" w:hAnsi="黑体" w:eastAsia="黑体"/>
                <w:color w:val="000000" w:themeColor="text1"/>
                <w:sz w:val="21"/>
                <w:szCs w:val="21"/>
                <w14:textFill>
                  <w14:solidFill>
                    <w14:schemeClr w14:val="tx1"/>
                  </w14:solidFill>
                </w14:textFill>
              </w:rPr>
              <w:t>A</w:t>
            </w:r>
            <w:r>
              <w:rPr>
                <w:rFonts w:ascii="黑体" w:hAnsi="黑体" w:eastAsia="黑体"/>
                <w:color w:val="000000" w:themeColor="text1"/>
                <w:sz w:val="21"/>
                <w:szCs w:val="21"/>
                <w14:textFill>
                  <w14:solidFill>
                    <w14:schemeClr w14:val="tx1"/>
                  </w14:solidFill>
                </w14:textFill>
              </w:rPr>
              <w:t xml:space="preserve"> 14</w:t>
            </w:r>
            <w:r>
              <w:rPr>
                <w:rFonts w:ascii="黑体" w:hAnsi="黑体" w:eastAsia="黑体"/>
                <w:color w:val="000000" w:themeColor="text1"/>
                <w:sz w:val="21"/>
                <w:szCs w:val="21"/>
                <w14:textFill>
                  <w14:solidFill>
                    <w14:schemeClr w14:val="tx1"/>
                  </w14:solidFill>
                </w14:textFill>
              </w:rPr>
              <w:fldChar w:fldCharType="end"/>
            </w:r>
            <w:bookmarkEnd w:id="1"/>
          </w:p>
        </w:tc>
      </w:tr>
    </w:tbl>
    <w:tbl>
      <w:tblPr>
        <w:tblStyle w:val="30"/>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59BD5B0E">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513BF59F">
            <w:pPr>
              <w:pStyle w:val="53"/>
              <w:framePr w:w="0" w:hRule="auto" w:wrap="auto" w:vAnchor="margin" w:hAnchor="text" w:xAlign="left" w:yAlign="inline"/>
              <w:rPr>
                <w:rFonts w:ascii="宋体" w:hAnsi="宋体"/>
                <w:color w:val="000000" w:themeColor="text1"/>
                <w:sz w:val="28"/>
                <w:szCs w:val="28"/>
                <w14:textFill>
                  <w14:solidFill>
                    <w14:schemeClr w14:val="tx1"/>
                  </w14:solidFill>
                </w14:textFill>
              </w:rPr>
            </w:pPr>
            <w:bookmarkStart w:id="2" w:name="_Hlk26473981"/>
            <w:r>
              <w:rPr>
                <w:color w:val="000000" w:themeColor="text1"/>
                <w14:textFill>
                  <w14:solidFill>
                    <w14:schemeClr w14:val="tx1"/>
                  </w14:solidFill>
                </w14:textFill>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color w:val="000000" w:themeColor="text1"/>
                <w:sz w:val="21"/>
                <w:szCs w:val="21"/>
                <w14:textFill>
                  <w14:solidFill>
                    <w14:schemeClr w14:val="tx1"/>
                  </w14:solidFill>
                </w14:textFill>
              </w:rPr>
              <w:t xml:space="preserve"> </w:t>
            </w:r>
            <w:r>
              <w:rPr>
                <w:color w:val="000000" w:themeColor="text1"/>
                <w14:textFill>
                  <w14:solidFill>
                    <w14:schemeClr w14:val="tx1"/>
                  </w14:solidFill>
                </w14:textFill>
              </w:rPr>
              <w:fldChar w:fldCharType="begin">
                <w:ffData>
                  <w:name w:val="c1"/>
                  <w:enabled/>
                  <w:calcOnExit w:val="0"/>
                  <w:textInput>
                    <w:maxLength w:val="8"/>
                  </w:textInput>
                </w:ffData>
              </w:fldChar>
            </w:r>
            <w:bookmarkStart w:id="3" w:name="c1"/>
            <w:r>
              <w:rPr>
                <w:color w:val="000000" w:themeColor="text1"/>
                <w14:textFill>
                  <w14:solidFill>
                    <w14:schemeClr w14:val="tx1"/>
                  </w14:solidFill>
                </w14:textFill>
              </w:rPr>
              <w:instrText xml:space="preserve"> FORMTEXT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32</w:t>
            </w:r>
            <w:r>
              <w:rPr>
                <w:color w:val="000000" w:themeColor="text1"/>
                <w14:textFill>
                  <w14:solidFill>
                    <w14:schemeClr w14:val="tx1"/>
                  </w14:solidFill>
                </w14:textFill>
              </w:rPr>
              <w:fldChar w:fldCharType="end"/>
            </w:r>
            <w:bookmarkEnd w:id="3"/>
          </w:p>
        </w:tc>
      </w:tr>
    </w:tbl>
    <w:p w14:paraId="4F1F574E">
      <w:pPr>
        <w:pStyle w:val="54"/>
        <w:framePr w:w="9639" w:h="624" w:hRule="exact" w:hSpace="181" w:vSpace="181" w:wrap="around" w:hAnchor="page" w:x="1305" w:y="2269"/>
        <w:rPr>
          <w:rFonts w:ascii="黑体" w:hAnsi="黑体" w:eastAsia="黑体"/>
          <w:b w:val="0"/>
          <w:bCs w:val="0"/>
          <w:color w:val="000000" w:themeColor="text1"/>
          <w:w w:val="100"/>
          <w:sz w:val="48"/>
          <w:szCs w:val="48"/>
          <w14:textFill>
            <w14:solidFill>
              <w14:schemeClr w14:val="tx1"/>
            </w14:solidFill>
          </w14:textFill>
        </w:rPr>
      </w:pPr>
      <w:r>
        <w:rPr>
          <w:rFonts w:ascii="黑体" w:eastAsia="黑体"/>
          <w:b w:val="0"/>
          <w:color w:val="000000" w:themeColor="text1"/>
          <w:w w:val="100"/>
          <w:sz w:val="48"/>
          <w14:textFill>
            <w14:solidFill>
              <w14:schemeClr w14:val="tx1"/>
            </w14:solidFill>
          </w14:textFill>
        </w:rPr>
        <w:fldChar w:fldCharType="begin">
          <w:ffData>
            <w:name w:val="c2"/>
            <w:enabled/>
            <w:calcOnExit w:val="0"/>
            <w:textInput/>
          </w:ffData>
        </w:fldChar>
      </w:r>
      <w:bookmarkStart w:id="4" w:name="c2"/>
      <w:r>
        <w:rPr>
          <w:rFonts w:ascii="黑体" w:eastAsia="黑体"/>
          <w:b w:val="0"/>
          <w:color w:val="000000" w:themeColor="text1"/>
          <w:w w:val="100"/>
          <w:sz w:val="48"/>
          <w14:textFill>
            <w14:solidFill>
              <w14:schemeClr w14:val="tx1"/>
            </w14:solidFill>
          </w14:textFill>
        </w:rPr>
        <w:instrText xml:space="preserve"> FORMTEXT </w:instrText>
      </w:r>
      <w:r>
        <w:rPr>
          <w:rFonts w:ascii="黑体" w:eastAsia="黑体"/>
          <w:b w:val="0"/>
          <w:color w:val="000000" w:themeColor="text1"/>
          <w:w w:val="100"/>
          <w:sz w:val="48"/>
          <w14:textFill>
            <w14:solidFill>
              <w14:schemeClr w14:val="tx1"/>
            </w14:solidFill>
          </w14:textFill>
        </w:rPr>
        <w:fldChar w:fldCharType="separate"/>
      </w:r>
      <w:r>
        <w:rPr>
          <w:rFonts w:hint="eastAsia" w:ascii="黑体" w:eastAsia="黑体"/>
          <w:b w:val="0"/>
          <w:color w:val="000000" w:themeColor="text1"/>
          <w:w w:val="100"/>
          <w:sz w:val="48"/>
          <w14:textFill>
            <w14:solidFill>
              <w14:schemeClr w14:val="tx1"/>
            </w14:solidFill>
          </w14:textFill>
        </w:rPr>
        <w:t>江苏省</w:t>
      </w:r>
      <w:r>
        <w:rPr>
          <w:rFonts w:ascii="黑体" w:eastAsia="黑体"/>
          <w:b w:val="0"/>
          <w:color w:val="000000" w:themeColor="text1"/>
          <w:w w:val="100"/>
          <w:sz w:val="48"/>
          <w14:textFill>
            <w14:solidFill>
              <w14:schemeClr w14:val="tx1"/>
            </w14:solidFill>
          </w14:textFill>
        </w:rPr>
        <w:fldChar w:fldCharType="end"/>
      </w:r>
      <w:bookmarkEnd w:id="4"/>
      <w:r>
        <w:rPr>
          <w:rFonts w:hint="eastAsia" w:ascii="黑体" w:hAnsi="黑体" w:eastAsia="黑体"/>
          <w:b w:val="0"/>
          <w:bCs w:val="0"/>
          <w:color w:val="000000" w:themeColor="text1"/>
          <w:w w:val="100"/>
          <w:sz w:val="48"/>
          <w:szCs w:val="48"/>
          <w14:textFill>
            <w14:solidFill>
              <w14:schemeClr w14:val="tx1"/>
            </w14:solidFill>
          </w14:textFill>
        </w:rPr>
        <w:t>地方标准</w:t>
      </w:r>
    </w:p>
    <w:bookmarkEnd w:id="2"/>
    <w:p w14:paraId="7E9810DD">
      <w:pPr>
        <w:pStyle w:val="199"/>
        <w:framePr/>
        <w:rPr>
          <w:color w:val="000000" w:themeColor="text1"/>
          <w:lang w:val="fr-FR"/>
          <w14:textFill>
            <w14:solidFill>
              <w14:schemeClr w14:val="tx1"/>
            </w14:solidFill>
          </w14:textFill>
        </w:rPr>
      </w:pPr>
      <w:r>
        <w:rPr>
          <w:color w:val="000000" w:themeColor="text1"/>
          <w:lang w:val="fr-FR"/>
          <w14:textFill>
            <w14:solidFill>
              <w14:schemeClr w14:val="tx1"/>
            </w14:solidFill>
          </w14:textFill>
        </w:rPr>
        <w:t>DB</w:t>
      </w:r>
      <w:r>
        <w:rPr>
          <w:color w:val="000000" w:themeColor="text1"/>
          <w14:textFill>
            <w14:solidFill>
              <w14:schemeClr w14:val="tx1"/>
            </w14:solidFill>
          </w14:textFill>
        </w:rPr>
        <w:fldChar w:fldCharType="begin">
          <w:ffData>
            <w:name w:val="文字1"/>
            <w:enabled/>
            <w:calcOnExit w:val="0"/>
            <w:textInput>
              <w:default w:val="XX/T"/>
            </w:textInput>
          </w:ffData>
        </w:fldChar>
      </w:r>
      <w:bookmarkStart w:id="5" w:name="文字1"/>
      <w:r>
        <w:rPr>
          <w:color w:val="000000" w:themeColor="text1"/>
          <w:lang w:val="fr-FR"/>
          <w14:textFill>
            <w14:solidFill>
              <w14:schemeClr w14:val="tx1"/>
            </w14:solidFill>
          </w14:textFill>
        </w:rPr>
        <w:instrText xml:space="preserve"> FORMTEXT </w:instrText>
      </w:r>
      <w:r>
        <w:rPr>
          <w:color w:val="000000" w:themeColor="text1"/>
          <w14:textFill>
            <w14:solidFill>
              <w14:schemeClr w14:val="tx1"/>
            </w14:solidFill>
          </w14:textFill>
        </w:rPr>
        <w:fldChar w:fldCharType="separate"/>
      </w:r>
      <w:r>
        <w:rPr>
          <w:color w:val="000000" w:themeColor="text1"/>
          <w:lang w:val="fr-FR"/>
          <w14:textFill>
            <w14:solidFill>
              <w14:schemeClr w14:val="tx1"/>
            </w14:solidFill>
          </w14:textFill>
        </w:rPr>
        <w:t>32/T</w:t>
      </w:r>
      <w:r>
        <w:rPr>
          <w:color w:val="000000" w:themeColor="text1"/>
          <w14:textFill>
            <w14:solidFill>
              <w14:schemeClr w14:val="tx1"/>
            </w14:solidFill>
          </w14:textFill>
        </w:rPr>
        <w:fldChar w:fldCharType="end"/>
      </w:r>
      <w:bookmarkEnd w:id="5"/>
      <w:r>
        <w:rPr>
          <w:color w:val="000000" w:themeColor="text1"/>
          <w:lang w:val="fr-FR"/>
          <w14:textFill>
            <w14:solidFill>
              <w14:schemeClr w14:val="tx1"/>
            </w14:solidFill>
          </w14:textFill>
        </w:rPr>
        <w:t xml:space="preserve"> </w:t>
      </w:r>
      <w:r>
        <w:rPr>
          <w:color w:val="000000" w:themeColor="text1"/>
          <w14:textFill>
            <w14:solidFill>
              <w14:schemeClr w14:val="tx1"/>
            </w14:solidFill>
          </w14:textFill>
        </w:rPr>
        <w:fldChar w:fldCharType="begin">
          <w:ffData>
            <w:name w:val="NSTD_CODE_F"/>
            <w:enabled/>
            <w:calcOnExit w:val="0"/>
            <w:textInput>
              <w:default w:val="XXXX"/>
            </w:textInput>
          </w:ffData>
        </w:fldChar>
      </w:r>
      <w:bookmarkStart w:id="6" w:name="NSTD_CODE_F"/>
      <w:r>
        <w:rPr>
          <w:color w:val="000000" w:themeColor="text1"/>
          <w:lang w:val="fr-FR"/>
          <w14:textFill>
            <w14:solidFill>
              <w14:schemeClr w14:val="tx1"/>
            </w14:solidFill>
          </w14:textFill>
        </w:rPr>
        <w:instrText xml:space="preserve"> FORMTEXT </w:instrText>
      </w:r>
      <w:r>
        <w:rPr>
          <w:color w:val="000000" w:themeColor="text1"/>
          <w14:textFill>
            <w14:solidFill>
              <w14:schemeClr w14:val="tx1"/>
            </w14:solidFill>
          </w14:textFill>
        </w:rPr>
        <w:fldChar w:fldCharType="separate"/>
      </w:r>
      <w:r>
        <w:rPr>
          <w:color w:val="000000" w:themeColor="text1"/>
          <w:lang w:val="fr-FR"/>
          <w14:textFill>
            <w14:solidFill>
              <w14:schemeClr w14:val="tx1"/>
            </w14:solidFill>
          </w14:textFill>
        </w:rPr>
        <w:t>XXXX</w:t>
      </w:r>
      <w:r>
        <w:rPr>
          <w:color w:val="000000" w:themeColor="text1"/>
          <w14:textFill>
            <w14:solidFill>
              <w14:schemeClr w14:val="tx1"/>
            </w14:solidFill>
          </w14:textFill>
        </w:rPr>
        <w:fldChar w:fldCharType="end"/>
      </w:r>
      <w:bookmarkEnd w:id="6"/>
      <w:r>
        <w:rPr>
          <w:rFonts w:hAnsi="黑体"/>
          <w:color w:val="000000" w:themeColor="text1"/>
          <w:lang w:val="fr-FR"/>
          <w14:textFill>
            <w14:solidFill>
              <w14:schemeClr w14:val="tx1"/>
            </w14:solidFill>
          </w14:textFill>
        </w:rPr>
        <w:t>—</w:t>
      </w:r>
      <w:r>
        <w:rPr>
          <w:color w:val="000000" w:themeColor="text1"/>
          <w14:textFill>
            <w14:solidFill>
              <w14:schemeClr w14:val="tx1"/>
            </w14:solidFill>
          </w14:textFill>
        </w:rPr>
        <w:fldChar w:fldCharType="begin">
          <w:ffData>
            <w:name w:val="NSTD_CODE_B"/>
            <w:enabled/>
            <w:calcOnExit w:val="0"/>
            <w:textInput>
              <w:default w:val="XXXX"/>
            </w:textInput>
          </w:ffData>
        </w:fldChar>
      </w:r>
      <w:bookmarkStart w:id="7" w:name="NSTD_CODE_B"/>
      <w:r>
        <w:rPr>
          <w:color w:val="000000" w:themeColor="text1"/>
          <w:lang w:val="fr-FR"/>
          <w14:textFill>
            <w14:solidFill>
              <w14:schemeClr w14:val="tx1"/>
            </w14:solidFill>
          </w14:textFill>
        </w:rPr>
        <w:instrText xml:space="preserve"> FORMTEXT </w:instrText>
      </w:r>
      <w:r>
        <w:rPr>
          <w:color w:val="000000" w:themeColor="text1"/>
          <w14:textFill>
            <w14:solidFill>
              <w14:schemeClr w14:val="tx1"/>
            </w14:solidFill>
          </w14:textFill>
        </w:rPr>
        <w:fldChar w:fldCharType="separate"/>
      </w:r>
      <w:r>
        <w:rPr>
          <w:color w:val="000000" w:themeColor="text1"/>
          <w:lang w:val="fr-FR"/>
          <w14:textFill>
            <w14:solidFill>
              <w14:schemeClr w14:val="tx1"/>
            </w14:solidFill>
          </w14:textFill>
        </w:rPr>
        <w:t>XXXX</w:t>
      </w:r>
      <w:r>
        <w:rPr>
          <w:color w:val="000000" w:themeColor="text1"/>
          <w14:textFill>
            <w14:solidFill>
              <w14:schemeClr w14:val="tx1"/>
            </w14:solidFill>
          </w14:textFill>
        </w:rPr>
        <w:fldChar w:fldCharType="end"/>
      </w:r>
      <w:bookmarkEnd w:id="7"/>
    </w:p>
    <w:p w14:paraId="2BE98CD2">
      <w:pPr>
        <w:pStyle w:val="200"/>
        <w:framePr/>
        <w:rPr>
          <w:rFonts w:hAnsi="黑体"/>
          <w:color w:val="000000" w:themeColor="text1"/>
          <w14:textFill>
            <w14:solidFill>
              <w14:schemeClr w14:val="tx1"/>
            </w14:solidFill>
          </w14:textFill>
        </w:rPr>
      </w:pPr>
      <w:r>
        <w:rPr>
          <w:rFonts w:hAnsi="黑体"/>
          <w:color w:val="000000" w:themeColor="text1"/>
          <w14:textFill>
            <w14:solidFill>
              <w14:schemeClr w14:val="tx1"/>
            </w14:solidFill>
          </w14:textFill>
        </w:rPr>
        <w:fldChar w:fldCharType="begin">
          <w:ffData>
            <w:name w:val="OSTD_CODE"/>
            <w:enabled/>
            <w:calcOnExit w:val="0"/>
            <w:textInput/>
          </w:ffData>
        </w:fldChar>
      </w:r>
      <w:bookmarkStart w:id="8" w:name="OSTD_CODE"/>
      <w:r>
        <w:rPr>
          <w:rFonts w:hAnsi="黑体"/>
          <w:color w:val="000000" w:themeColor="text1"/>
          <w14:textFill>
            <w14:solidFill>
              <w14:schemeClr w14:val="tx1"/>
            </w14:solidFill>
          </w14:textFill>
        </w:rPr>
        <w:instrText xml:space="preserve"> FORMTEXT </w:instrText>
      </w:r>
      <w:r>
        <w:rPr>
          <w:rFonts w:hAnsi="黑体"/>
          <w:color w:val="000000" w:themeColor="text1"/>
          <w14:textFill>
            <w14:solidFill>
              <w14:schemeClr w14:val="tx1"/>
            </w14:solidFill>
          </w14:textFill>
        </w:rPr>
        <w:fldChar w:fldCharType="separate"/>
      </w:r>
      <w:r>
        <w:rPr>
          <w:rFonts w:hAnsi="黑体"/>
          <w:color w:val="000000" w:themeColor="text1"/>
          <w14:textFill>
            <w14:solidFill>
              <w14:schemeClr w14:val="tx1"/>
            </w14:solidFill>
          </w14:textFill>
        </w:rPr>
        <w:t>     </w:t>
      </w:r>
      <w:r>
        <w:rPr>
          <w:rFonts w:hAnsi="黑体"/>
          <w:color w:val="000000" w:themeColor="text1"/>
          <w14:textFill>
            <w14:solidFill>
              <w14:schemeClr w14:val="tx1"/>
            </w14:solidFill>
          </w14:textFill>
        </w:rPr>
        <w:fldChar w:fldCharType="end"/>
      </w:r>
      <w:bookmarkEnd w:id="8"/>
    </w:p>
    <w:p w14:paraId="23BE5B50">
      <w:pPr>
        <w:spacing w:line="240" w:lineRule="auto"/>
        <w:rPr>
          <w:rFonts w:ascii="黑体" w:hAnsi="黑体" w:eastAsia="黑体"/>
          <w:color w:val="000000" w:themeColor="text1"/>
          <w:kern w:val="0"/>
          <w:sz w:val="10"/>
          <w:szCs w:val="10"/>
          <w14:textFill>
            <w14:solidFill>
              <w14:schemeClr w14:val="tx1"/>
            </w14:solidFill>
          </w14:textFill>
        </w:rPr>
      </w:pPr>
      <w:r>
        <w:rPr>
          <w:rFonts w:ascii="黑体" w:hAnsi="黑体" w:eastAsia="黑体"/>
          <w:color w:val="000000" w:themeColor="text1"/>
          <w:kern w:val="0"/>
          <w:sz w:val="10"/>
          <w:szCs w:val="10"/>
          <w14:textFill>
            <w14:solidFill>
              <w14:schemeClr w14:val="tx1"/>
            </w14:solidFill>
          </w14:textFill>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A5ED496">
      <w:pPr>
        <w:pStyle w:val="54"/>
        <w:framePr w:w="9639" w:h="6976" w:hRule="exact" w:hSpace="0" w:vSpace="0" w:wrap="around" w:hAnchor="page" w:y="6408"/>
        <w:jc w:val="center"/>
        <w:rPr>
          <w:rFonts w:ascii="黑体" w:hAnsi="黑体" w:eastAsia="黑体"/>
          <w:b w:val="0"/>
          <w:bCs w:val="0"/>
          <w:color w:val="000000" w:themeColor="text1"/>
          <w:w w:val="100"/>
          <w14:textFill>
            <w14:solidFill>
              <w14:schemeClr w14:val="tx1"/>
            </w14:solidFill>
          </w14:textFill>
        </w:rPr>
      </w:pPr>
    </w:p>
    <w:p w14:paraId="7E97EDC4">
      <w:pPr>
        <w:pStyle w:val="201"/>
        <w:framePr w:h="6974" w:hRule="exact" w:wrap="around" w:x="1419" w:anchorLock="1"/>
        <w:rPr>
          <w:color w:val="000000" w:themeColor="text1"/>
          <w14:textFill>
            <w14:solidFill>
              <w14:schemeClr w14:val="tx1"/>
            </w14:solidFill>
          </w14:textFill>
        </w:rPr>
      </w:pPr>
      <w:r>
        <w:rPr>
          <w:color w:val="000000" w:themeColor="text1"/>
          <w14:textFill>
            <w14:solidFill>
              <w14:schemeClr w14:val="tx1"/>
            </w14:solidFill>
          </w14:textFill>
        </w:rPr>
        <w:fldChar w:fldCharType="begin">
          <w:ffData>
            <w:name w:val="CSTD_NAME"/>
            <w:enabled/>
            <w:calcOnExit w:val="0"/>
            <w:textInput>
              <w:default w:val="点击此处添加标准名称"/>
            </w:textInput>
          </w:ffData>
        </w:fldChar>
      </w:r>
      <w:bookmarkStart w:id="9" w:name="CSTD_NAME"/>
      <w:r>
        <w:rPr>
          <w:color w:val="000000" w:themeColor="text1"/>
          <w14:textFill>
            <w14:solidFill>
              <w14:schemeClr w14:val="tx1"/>
            </w14:solidFill>
          </w14:textFill>
        </w:rPr>
        <w:instrText xml:space="preserve"> FORMTEXT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政务服务全程网办电子文件单套归档规范</w:t>
      </w:r>
      <w:r>
        <w:rPr>
          <w:color w:val="000000" w:themeColor="text1"/>
          <w14:textFill>
            <w14:solidFill>
              <w14:schemeClr w14:val="tx1"/>
            </w14:solidFill>
          </w14:textFill>
        </w:rPr>
        <w:fldChar w:fldCharType="end"/>
      </w:r>
      <w:bookmarkEnd w:id="9"/>
    </w:p>
    <w:p w14:paraId="35352142">
      <w:pPr>
        <w:framePr w:w="9639" w:h="6974" w:hRule="exact" w:wrap="around" w:vAnchor="page" w:hAnchor="page" w:x="1419" w:y="6408" w:anchorLock="1"/>
        <w:ind w:left="-1418"/>
        <w:rPr>
          <w:color w:val="000000" w:themeColor="text1"/>
          <w14:textFill>
            <w14:solidFill>
              <w14:schemeClr w14:val="tx1"/>
            </w14:solidFill>
          </w14:textFill>
        </w:rPr>
      </w:pPr>
    </w:p>
    <w:p w14:paraId="3CE0ECAF">
      <w:pPr>
        <w:pStyle w:val="129"/>
        <w:framePr w:w="9639" w:h="6974" w:hRule="exact" w:wrap="around" w:vAnchor="page" w:hAnchor="page" w:x="1419" w:y="6408" w:anchorLock="1"/>
        <w:textAlignment w:val="bottom"/>
        <w:rPr>
          <w:rFonts w:ascii="黑体" w:hAnsi="黑体" w:eastAsia="黑体"/>
          <w:color w:val="000000" w:themeColor="text1"/>
          <w:szCs w:val="28"/>
          <w14:textFill>
            <w14:solidFill>
              <w14:schemeClr w14:val="tx1"/>
            </w14:solidFill>
          </w14:textFill>
        </w:rPr>
      </w:pPr>
      <w:r>
        <w:rPr>
          <w:rFonts w:ascii="黑体" w:hAnsi="黑体" w:eastAsia="黑体"/>
          <w:color w:val="000000" w:themeColor="text1"/>
          <w:szCs w:val="28"/>
          <w14:textFill>
            <w14:solidFill>
              <w14:schemeClr w14:val="tx1"/>
            </w14:solidFill>
          </w14:textFill>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color w:val="000000" w:themeColor="text1"/>
          <w:szCs w:val="28"/>
          <w14:textFill>
            <w14:solidFill>
              <w14:schemeClr w14:val="tx1"/>
            </w14:solidFill>
          </w14:textFill>
        </w:rPr>
        <w:instrText xml:space="preserve"> FORMTEXT </w:instrText>
      </w:r>
      <w:r>
        <w:rPr>
          <w:rFonts w:ascii="黑体" w:hAnsi="黑体" w:eastAsia="黑体"/>
          <w:color w:val="000000" w:themeColor="text1"/>
          <w:szCs w:val="28"/>
          <w14:textFill>
            <w14:solidFill>
              <w14:schemeClr w14:val="tx1"/>
            </w14:solidFill>
          </w14:textFill>
        </w:rPr>
        <w:fldChar w:fldCharType="separate"/>
      </w:r>
      <w:r>
        <w:rPr>
          <w:rFonts w:hint="eastAsia" w:ascii="黑体" w:hAnsi="黑体" w:eastAsia="黑体"/>
          <w:color w:val="000000" w:themeColor="text1"/>
          <w:szCs w:val="28"/>
          <w14:textFill>
            <w14:solidFill>
              <w14:schemeClr w14:val="tx1"/>
            </w14:solidFill>
          </w14:textFill>
        </w:rPr>
        <w:t>S</w:t>
      </w:r>
      <w:r>
        <w:rPr>
          <w:rFonts w:ascii="黑体" w:hAnsi="黑体" w:eastAsia="黑体"/>
          <w:color w:val="000000" w:themeColor="text1"/>
          <w:szCs w:val="28"/>
          <w14:textFill>
            <w14:solidFill>
              <w14:schemeClr w14:val="tx1"/>
            </w14:solidFill>
          </w14:textFill>
        </w:rPr>
        <w:t>pecification for electronic document single set filing of government service whole course online processing</w:t>
      </w:r>
      <w:r>
        <w:rPr>
          <w:rFonts w:ascii="黑体" w:hAnsi="黑体" w:eastAsia="黑体"/>
          <w:color w:val="000000" w:themeColor="text1"/>
          <w:szCs w:val="28"/>
          <w14:textFill>
            <w14:solidFill>
              <w14:schemeClr w14:val="tx1"/>
            </w14:solidFill>
          </w14:textFill>
        </w:rPr>
        <w:fldChar w:fldCharType="end"/>
      </w:r>
      <w:bookmarkEnd w:id="10"/>
    </w:p>
    <w:p w14:paraId="51984A2B">
      <w:pPr>
        <w:framePr w:w="9639" w:h="6974" w:hRule="exact" w:wrap="around" w:vAnchor="page" w:hAnchor="page" w:x="1419" w:y="6408" w:anchorLock="1"/>
        <w:spacing w:line="760" w:lineRule="exact"/>
        <w:ind w:left="-1418"/>
        <w:rPr>
          <w:color w:val="000000" w:themeColor="text1"/>
          <w14:textFill>
            <w14:solidFill>
              <w14:schemeClr w14:val="tx1"/>
            </w14:solidFill>
          </w14:textFill>
        </w:rPr>
      </w:pPr>
    </w:p>
    <w:p w14:paraId="22F5D7B1">
      <w:pPr>
        <w:pStyle w:val="129"/>
        <w:framePr w:w="9639" w:h="6974" w:hRule="exact" w:wrap="around" w:vAnchor="page" w:hAnchor="page" w:x="1419" w:y="6408" w:anchorLock="1"/>
        <w:textAlignment w:val="bottom"/>
        <w:rPr>
          <w:rFonts w:eastAsia="黑体"/>
          <w:color w:val="000000" w:themeColor="text1"/>
          <w:szCs w:val="28"/>
          <w14:textFill>
            <w14:solidFill>
              <w14:schemeClr w14:val="tx1"/>
            </w14:solidFill>
          </w14:textFill>
        </w:rPr>
      </w:pPr>
    </w:p>
    <w:p w14:paraId="63B2ABD5">
      <w:pPr>
        <w:pStyle w:val="129"/>
        <w:framePr w:w="9639" w:h="6974" w:hRule="exact" w:wrap="around" w:vAnchor="page" w:hAnchor="page" w:x="1419" w:y="6408" w:anchorLock="1"/>
        <w:spacing w:before="440" w:after="160"/>
        <w:textAlignment w:val="bottom"/>
        <w:rPr>
          <w:color w:val="000000" w:themeColor="text1"/>
          <w:sz w:val="24"/>
          <w:szCs w:val="28"/>
          <w14:textFill>
            <w14:solidFill>
              <w14:schemeClr w14:val="tx1"/>
            </w14:solidFill>
          </w14:textFill>
        </w:rPr>
      </w:pPr>
      <w:r>
        <w:rPr>
          <w:color w:val="000000" w:themeColor="text1"/>
          <w:sz w:val="24"/>
          <w:szCs w:val="28"/>
          <w14:textFill>
            <w14:solidFill>
              <w14:schemeClr w14:val="tx1"/>
            </w14:solidFill>
          </w14:textFill>
        </w:rPr>
        <w:t>（报批稿）</w:t>
      </w:r>
    </w:p>
    <w:p w14:paraId="331B27EC">
      <w:pPr>
        <w:pStyle w:val="129"/>
        <w:framePr w:w="9639" w:h="6974" w:hRule="exact" w:wrap="around" w:vAnchor="page" w:hAnchor="page" w:x="1419" w:y="6408" w:anchorLock="1"/>
        <w:spacing w:before="180" w:line="240" w:lineRule="atLeast"/>
        <w:textAlignment w:val="bottom"/>
        <w:rPr>
          <w:color w:val="000000" w:themeColor="text1"/>
          <w:sz w:val="21"/>
          <w:szCs w:val="28"/>
          <w14:textFill>
            <w14:solidFill>
              <w14:schemeClr w14:val="tx1"/>
            </w14:solidFill>
          </w14:textFill>
        </w:rPr>
      </w:pPr>
      <w:r>
        <w:rPr>
          <w:color w:val="000000" w:themeColor="text1"/>
          <w:sz w:val="21"/>
          <w:szCs w:val="28"/>
          <w14:textFill>
            <w14:solidFill>
              <w14:schemeClr w14:val="tx1"/>
            </w14:solidFill>
          </w14:textFill>
        </w:rPr>
        <w:fldChar w:fldCharType="begin">
          <w:ffData>
            <w:name w:val="CMPLSH_DATE"/>
            <w:enabled/>
            <w:calcOnExit w:val="0"/>
            <w:textInput/>
          </w:ffData>
        </w:fldChar>
      </w:r>
      <w:bookmarkStart w:id="11" w:name="CMPLSH_DATE"/>
      <w:r>
        <w:rPr>
          <w:color w:val="000000" w:themeColor="text1"/>
          <w:sz w:val="21"/>
          <w:szCs w:val="28"/>
          <w14:textFill>
            <w14:solidFill>
              <w14:schemeClr w14:val="tx1"/>
            </w14:solidFill>
          </w14:textFill>
        </w:rPr>
        <w:instrText xml:space="preserve"> FORMTEXT </w:instrText>
      </w:r>
      <w:r>
        <w:rPr>
          <w:color w:val="000000" w:themeColor="text1"/>
          <w:sz w:val="21"/>
          <w:szCs w:val="28"/>
          <w14:textFill>
            <w14:solidFill>
              <w14:schemeClr w14:val="tx1"/>
            </w14:solidFill>
          </w14:textFill>
        </w:rPr>
        <w:fldChar w:fldCharType="separate"/>
      </w:r>
      <w:r>
        <w:rPr>
          <w:color w:val="000000" w:themeColor="text1"/>
          <w:sz w:val="21"/>
          <w:szCs w:val="28"/>
          <w14:textFill>
            <w14:solidFill>
              <w14:schemeClr w14:val="tx1"/>
            </w14:solidFill>
          </w14:textFill>
        </w:rPr>
        <w:t>     </w:t>
      </w:r>
      <w:r>
        <w:rPr>
          <w:color w:val="000000" w:themeColor="text1"/>
          <w:sz w:val="21"/>
          <w:szCs w:val="28"/>
          <w14:textFill>
            <w14:solidFill>
              <w14:schemeClr w14:val="tx1"/>
            </w14:solidFill>
          </w14:textFill>
        </w:rPr>
        <w:fldChar w:fldCharType="end"/>
      </w:r>
      <w:bookmarkEnd w:id="11"/>
    </w:p>
    <w:p w14:paraId="77140287">
      <w:pPr>
        <w:pStyle w:val="129"/>
        <w:framePr w:w="9639" w:h="6974" w:hRule="exact" w:wrap="around" w:vAnchor="page" w:hAnchor="page" w:x="1419" w:y="6408" w:anchorLock="1"/>
        <w:spacing w:before="720" w:beforeLines="300" w:after="72" w:afterLines="30" w:line="240" w:lineRule="auto"/>
        <w:textAlignment w:val="bottom"/>
        <w:rPr>
          <w:b/>
          <w:color w:val="000000" w:themeColor="text1"/>
          <w:sz w:val="21"/>
          <w:szCs w:val="28"/>
          <w14:textFill>
            <w14:solidFill>
              <w14:schemeClr w14:val="tx1"/>
            </w14:solidFill>
          </w14:textFill>
        </w:rPr>
      </w:pPr>
      <w:r>
        <w:rPr>
          <w:b/>
          <w:color w:val="000000" w:themeColor="text1"/>
          <w:sz w:val="21"/>
          <w:szCs w:val="28"/>
          <w14:textFill>
            <w14:solidFill>
              <w14:schemeClr w14:val="tx1"/>
            </w14:solidFill>
          </w14:textFill>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Pr>
          <w:b/>
          <w:color w:val="000000" w:themeColor="text1"/>
          <w:sz w:val="21"/>
          <w:szCs w:val="28"/>
          <w14:textFill>
            <w14:solidFill>
              <w14:schemeClr w14:val="tx1"/>
            </w14:solidFill>
          </w14:textFill>
        </w:rPr>
        <w:instrText xml:space="preserve"> FORMDROPDOWN </w:instrText>
      </w:r>
      <w:r>
        <w:rPr>
          <w:b/>
          <w:color w:val="000000" w:themeColor="text1"/>
          <w:sz w:val="21"/>
          <w:szCs w:val="28"/>
          <w14:textFill>
            <w14:solidFill>
              <w14:schemeClr w14:val="tx1"/>
            </w14:solidFill>
          </w14:textFill>
        </w:rPr>
        <w:fldChar w:fldCharType="separate"/>
      </w:r>
      <w:r>
        <w:rPr>
          <w:b/>
          <w:color w:val="000000" w:themeColor="text1"/>
          <w:sz w:val="21"/>
          <w:szCs w:val="28"/>
          <w14:textFill>
            <w14:solidFill>
              <w14:schemeClr w14:val="tx1"/>
            </w14:solidFill>
          </w14:textFill>
        </w:rPr>
        <w:fldChar w:fldCharType="end"/>
      </w:r>
      <w:bookmarkEnd w:id="12"/>
    </w:p>
    <w:p w14:paraId="29EE0CC1">
      <w:pPr>
        <w:pStyle w:val="197"/>
        <w:framePr w:wrap="around" w:y="14176"/>
        <w:rPr>
          <w:color w:val="000000" w:themeColor="text1"/>
          <w14:textFill>
            <w14:solidFill>
              <w14:schemeClr w14:val="tx1"/>
            </w14:solidFill>
          </w14:textFill>
        </w:rPr>
      </w:pPr>
      <w:r>
        <w:rPr>
          <w:rFonts w:ascii="黑体"/>
          <w:color w:val="000000" w:themeColor="text1"/>
          <w14:textFill>
            <w14:solidFill>
              <w14:schemeClr w14:val="tx1"/>
            </w14:solidFill>
          </w14:textFill>
        </w:rPr>
        <w:fldChar w:fldCharType="begin">
          <w:ffData>
            <w:name w:val="PLSH_DATE_Y"/>
            <w:enabled/>
            <w:calcOnExit w:val="0"/>
            <w:textInput>
              <w:default w:val="XXXX"/>
              <w:maxLength w:val="4"/>
            </w:textInput>
          </w:ffData>
        </w:fldChar>
      </w:r>
      <w:bookmarkStart w:id="13" w:name="PLSH_DATE_Y"/>
      <w:r>
        <w:rPr>
          <w:rFonts w:ascii="黑体"/>
          <w:color w:val="000000" w:themeColor="text1"/>
          <w14:textFill>
            <w14:solidFill>
              <w14:schemeClr w14:val="tx1"/>
            </w14:solidFill>
          </w14:textFill>
        </w:rPr>
        <w:instrText xml:space="preserve"> FORMTEXT </w:instrText>
      </w:r>
      <w:r>
        <w:rPr>
          <w:rFonts w:ascii="黑体"/>
          <w:color w:val="000000" w:themeColor="text1"/>
          <w14:textFill>
            <w14:solidFill>
              <w14:schemeClr w14:val="tx1"/>
            </w14:solidFill>
          </w14:textFill>
        </w:rPr>
        <w:fldChar w:fldCharType="separate"/>
      </w:r>
      <w:r>
        <w:rPr>
          <w:rFonts w:ascii="黑体"/>
          <w:color w:val="000000" w:themeColor="text1"/>
          <w14:textFill>
            <w14:solidFill>
              <w14:schemeClr w14:val="tx1"/>
            </w14:solidFill>
          </w14:textFill>
        </w:rPr>
        <w:t>XXXX</w:t>
      </w:r>
      <w:r>
        <w:rPr>
          <w:rFonts w:ascii="黑体"/>
          <w:color w:val="000000" w:themeColor="text1"/>
          <w14:textFill>
            <w14:solidFill>
              <w14:schemeClr w14:val="tx1"/>
            </w14:solidFill>
          </w14:textFill>
        </w:rPr>
        <w:fldChar w:fldCharType="end"/>
      </w:r>
      <w:bookmarkEnd w:id="13"/>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t>-</w:t>
      </w:r>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fldChar w:fldCharType="begin">
          <w:ffData>
            <w:name w:val="PLSH_DATE_M"/>
            <w:enabled/>
            <w:calcOnExit w:val="0"/>
            <w:textInput>
              <w:default w:val="XX"/>
              <w:maxLength w:val="2"/>
            </w:textInput>
          </w:ffData>
        </w:fldChar>
      </w:r>
      <w:bookmarkStart w:id="14" w:name="PLSH_DATE_M"/>
      <w:r>
        <w:rPr>
          <w:rFonts w:ascii="黑体"/>
          <w:color w:val="000000" w:themeColor="text1"/>
          <w14:textFill>
            <w14:solidFill>
              <w14:schemeClr w14:val="tx1"/>
            </w14:solidFill>
          </w14:textFill>
        </w:rPr>
        <w:instrText xml:space="preserve"> FORMTEXT </w:instrText>
      </w:r>
      <w:r>
        <w:rPr>
          <w:rFonts w:ascii="黑体"/>
          <w:color w:val="000000" w:themeColor="text1"/>
          <w14:textFill>
            <w14:solidFill>
              <w14:schemeClr w14:val="tx1"/>
            </w14:solidFill>
          </w14:textFill>
        </w:rPr>
        <w:fldChar w:fldCharType="separate"/>
      </w:r>
      <w:r>
        <w:rPr>
          <w:rFonts w:ascii="黑体"/>
          <w:color w:val="000000" w:themeColor="text1"/>
          <w14:textFill>
            <w14:solidFill>
              <w14:schemeClr w14:val="tx1"/>
            </w14:solidFill>
          </w14:textFill>
        </w:rPr>
        <w:t>XX</w:t>
      </w:r>
      <w:r>
        <w:rPr>
          <w:rFonts w:ascii="黑体"/>
          <w:color w:val="000000" w:themeColor="text1"/>
          <w14:textFill>
            <w14:solidFill>
              <w14:schemeClr w14:val="tx1"/>
            </w14:solidFill>
          </w14:textFill>
        </w:rPr>
        <w:fldChar w:fldCharType="end"/>
      </w:r>
      <w:bookmarkEnd w:id="14"/>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t>-</w:t>
      </w:r>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fldChar w:fldCharType="begin">
          <w:ffData>
            <w:name w:val="PLSH_DATE_D"/>
            <w:enabled/>
            <w:calcOnExit w:val="0"/>
            <w:textInput>
              <w:default w:val="XX"/>
              <w:maxLength w:val="2"/>
            </w:textInput>
          </w:ffData>
        </w:fldChar>
      </w:r>
      <w:bookmarkStart w:id="15" w:name="PLSH_DATE_D"/>
      <w:r>
        <w:rPr>
          <w:rFonts w:ascii="黑体"/>
          <w:color w:val="000000" w:themeColor="text1"/>
          <w14:textFill>
            <w14:solidFill>
              <w14:schemeClr w14:val="tx1"/>
            </w14:solidFill>
          </w14:textFill>
        </w:rPr>
        <w:instrText xml:space="preserve"> FORMTEXT </w:instrText>
      </w:r>
      <w:r>
        <w:rPr>
          <w:rFonts w:ascii="黑体"/>
          <w:color w:val="000000" w:themeColor="text1"/>
          <w14:textFill>
            <w14:solidFill>
              <w14:schemeClr w14:val="tx1"/>
            </w14:solidFill>
          </w14:textFill>
        </w:rPr>
        <w:fldChar w:fldCharType="separate"/>
      </w:r>
      <w:r>
        <w:rPr>
          <w:rFonts w:ascii="黑体"/>
          <w:color w:val="000000" w:themeColor="text1"/>
          <w14:textFill>
            <w14:solidFill>
              <w14:schemeClr w14:val="tx1"/>
            </w14:solidFill>
          </w14:textFill>
        </w:rPr>
        <w:t>XX</w:t>
      </w:r>
      <w:r>
        <w:rPr>
          <w:rFonts w:ascii="黑体"/>
          <w:color w:val="000000" w:themeColor="text1"/>
          <w14:textFill>
            <w14:solidFill>
              <w14:schemeClr w14:val="tx1"/>
            </w14:solidFill>
          </w14:textFill>
        </w:rPr>
        <w:fldChar w:fldCharType="end"/>
      </w:r>
      <w:bookmarkEnd w:id="15"/>
      <w:r>
        <w:rPr>
          <w:rFonts w:hint="eastAsia"/>
          <w:color w:val="000000" w:themeColor="text1"/>
          <w14:textFill>
            <w14:solidFill>
              <w14:schemeClr w14:val="tx1"/>
            </w14:solidFill>
          </w14:textFill>
        </w:rPr>
        <w:t>发布</w:t>
      </w:r>
    </w:p>
    <w:p w14:paraId="76AD4F72">
      <w:pPr>
        <w:pStyle w:val="198"/>
        <w:framePr w:wrap="around" w:y="14176"/>
        <w:rPr>
          <w:color w:val="000000" w:themeColor="text1"/>
          <w14:textFill>
            <w14:solidFill>
              <w14:schemeClr w14:val="tx1"/>
            </w14:solidFill>
          </w14:textFill>
        </w:rPr>
      </w:pPr>
      <w:r>
        <w:rPr>
          <w:rFonts w:ascii="黑体"/>
          <w:color w:val="000000" w:themeColor="text1"/>
          <w14:textFill>
            <w14:solidFill>
              <w14:schemeClr w14:val="tx1"/>
            </w14:solidFill>
          </w14:textFill>
        </w:rPr>
        <w:fldChar w:fldCharType="begin">
          <w:ffData>
            <w:name w:val="CROT_DATE_Y"/>
            <w:enabled/>
            <w:calcOnExit w:val="0"/>
            <w:textInput>
              <w:default w:val="XXXX"/>
              <w:maxLength w:val="4"/>
            </w:textInput>
          </w:ffData>
        </w:fldChar>
      </w:r>
      <w:bookmarkStart w:id="16" w:name="CROT_DATE_Y"/>
      <w:r>
        <w:rPr>
          <w:rFonts w:ascii="黑体"/>
          <w:color w:val="000000" w:themeColor="text1"/>
          <w14:textFill>
            <w14:solidFill>
              <w14:schemeClr w14:val="tx1"/>
            </w14:solidFill>
          </w14:textFill>
        </w:rPr>
        <w:instrText xml:space="preserve"> FORMTEXT </w:instrText>
      </w:r>
      <w:r>
        <w:rPr>
          <w:rFonts w:ascii="黑体"/>
          <w:color w:val="000000" w:themeColor="text1"/>
          <w14:textFill>
            <w14:solidFill>
              <w14:schemeClr w14:val="tx1"/>
            </w14:solidFill>
          </w14:textFill>
        </w:rPr>
        <w:fldChar w:fldCharType="separate"/>
      </w:r>
      <w:r>
        <w:rPr>
          <w:rFonts w:ascii="黑体"/>
          <w:color w:val="000000" w:themeColor="text1"/>
          <w14:textFill>
            <w14:solidFill>
              <w14:schemeClr w14:val="tx1"/>
            </w14:solidFill>
          </w14:textFill>
        </w:rPr>
        <w:t>XXXX</w:t>
      </w:r>
      <w:r>
        <w:rPr>
          <w:rFonts w:ascii="黑体"/>
          <w:color w:val="000000" w:themeColor="text1"/>
          <w14:textFill>
            <w14:solidFill>
              <w14:schemeClr w14:val="tx1"/>
            </w14:solidFill>
          </w14:textFill>
        </w:rPr>
        <w:fldChar w:fldCharType="end"/>
      </w:r>
      <w:bookmarkEnd w:id="16"/>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t>-</w:t>
      </w:r>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fldChar w:fldCharType="begin">
          <w:ffData>
            <w:name w:val="CROT_DATE_M"/>
            <w:enabled/>
            <w:calcOnExit w:val="0"/>
            <w:textInput>
              <w:default w:val="XX"/>
              <w:maxLength w:val="2"/>
            </w:textInput>
          </w:ffData>
        </w:fldChar>
      </w:r>
      <w:bookmarkStart w:id="17" w:name="CROT_DATE_M"/>
      <w:r>
        <w:rPr>
          <w:rFonts w:ascii="黑体"/>
          <w:color w:val="000000" w:themeColor="text1"/>
          <w14:textFill>
            <w14:solidFill>
              <w14:schemeClr w14:val="tx1"/>
            </w14:solidFill>
          </w14:textFill>
        </w:rPr>
        <w:instrText xml:space="preserve"> FORMTEXT </w:instrText>
      </w:r>
      <w:r>
        <w:rPr>
          <w:rFonts w:ascii="黑体"/>
          <w:color w:val="000000" w:themeColor="text1"/>
          <w14:textFill>
            <w14:solidFill>
              <w14:schemeClr w14:val="tx1"/>
            </w14:solidFill>
          </w14:textFill>
        </w:rPr>
        <w:fldChar w:fldCharType="separate"/>
      </w:r>
      <w:r>
        <w:rPr>
          <w:rFonts w:ascii="黑体"/>
          <w:color w:val="000000" w:themeColor="text1"/>
          <w14:textFill>
            <w14:solidFill>
              <w14:schemeClr w14:val="tx1"/>
            </w14:solidFill>
          </w14:textFill>
        </w:rPr>
        <w:t>XX</w:t>
      </w:r>
      <w:r>
        <w:rPr>
          <w:rFonts w:ascii="黑体"/>
          <w:color w:val="000000" w:themeColor="text1"/>
          <w14:textFill>
            <w14:solidFill>
              <w14:schemeClr w14:val="tx1"/>
            </w14:solidFill>
          </w14:textFill>
        </w:rPr>
        <w:fldChar w:fldCharType="end"/>
      </w:r>
      <w:bookmarkEnd w:id="17"/>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t>-</w:t>
      </w:r>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fldChar w:fldCharType="begin">
          <w:ffData>
            <w:name w:val="CROT_DATE_D"/>
            <w:enabled/>
            <w:calcOnExit w:val="0"/>
            <w:textInput>
              <w:default w:val="XX"/>
              <w:maxLength w:val="2"/>
            </w:textInput>
          </w:ffData>
        </w:fldChar>
      </w:r>
      <w:bookmarkStart w:id="18" w:name="CROT_DATE_D"/>
      <w:r>
        <w:rPr>
          <w:rFonts w:ascii="黑体"/>
          <w:color w:val="000000" w:themeColor="text1"/>
          <w14:textFill>
            <w14:solidFill>
              <w14:schemeClr w14:val="tx1"/>
            </w14:solidFill>
          </w14:textFill>
        </w:rPr>
        <w:instrText xml:space="preserve"> FORMTEXT </w:instrText>
      </w:r>
      <w:r>
        <w:rPr>
          <w:rFonts w:ascii="黑体"/>
          <w:color w:val="000000" w:themeColor="text1"/>
          <w14:textFill>
            <w14:solidFill>
              <w14:schemeClr w14:val="tx1"/>
            </w14:solidFill>
          </w14:textFill>
        </w:rPr>
        <w:fldChar w:fldCharType="separate"/>
      </w:r>
      <w:r>
        <w:rPr>
          <w:rFonts w:ascii="黑体"/>
          <w:color w:val="000000" w:themeColor="text1"/>
          <w14:textFill>
            <w14:solidFill>
              <w14:schemeClr w14:val="tx1"/>
            </w14:solidFill>
          </w14:textFill>
        </w:rPr>
        <w:t>XX</w:t>
      </w:r>
      <w:r>
        <w:rPr>
          <w:rFonts w:ascii="黑体"/>
          <w:color w:val="000000" w:themeColor="text1"/>
          <w14:textFill>
            <w14:solidFill>
              <w14:schemeClr w14:val="tx1"/>
            </w14:solidFill>
          </w14:textFill>
        </w:rPr>
        <w:fldChar w:fldCharType="end"/>
      </w:r>
      <w:bookmarkEnd w:id="18"/>
      <w:r>
        <w:rPr>
          <w:rFonts w:hint="eastAsia"/>
          <w:color w:val="000000" w:themeColor="text1"/>
          <w14:textFill>
            <w14:solidFill>
              <w14:schemeClr w14:val="tx1"/>
            </w14:solidFill>
          </w14:textFill>
        </w:rPr>
        <w:t>实施</w:t>
      </w:r>
    </w:p>
    <w:p w14:paraId="25D910A4">
      <w:pPr>
        <w:pStyle w:val="155"/>
        <w:framePr w:h="584" w:hRule="exact" w:hSpace="181" w:vSpace="181" w:wrap="around" w:y="15027"/>
        <w:rPr>
          <w:rFonts w:hAnsi="黑体"/>
          <w:color w:val="000000" w:themeColor="text1"/>
          <w14:textFill>
            <w14:solidFill>
              <w14:schemeClr w14:val="tx1"/>
            </w14:solidFill>
          </w14:textFill>
        </w:rPr>
      </w:pPr>
      <w:r>
        <w:rPr>
          <w:rFonts w:hAnsi="黑体"/>
          <w:color w:val="000000" w:themeColor="text1"/>
          <w:w w:val="100"/>
          <w:sz w:val="28"/>
          <w14:textFill>
            <w14:solidFill>
              <w14:schemeClr w14:val="tx1"/>
            </w14:solidFill>
          </w14:textFill>
        </w:rPr>
        <w:fldChar w:fldCharType="begin">
          <w:ffData>
            <w:name w:val="fm"/>
            <w:enabled/>
            <w:calcOnExit w:val="0"/>
            <w:textInput/>
          </w:ffData>
        </w:fldChar>
      </w:r>
      <w:bookmarkStart w:id="19" w:name="fm"/>
      <w:r>
        <w:rPr>
          <w:rFonts w:hAnsi="黑体"/>
          <w:color w:val="000000" w:themeColor="text1"/>
          <w:w w:val="100"/>
          <w:sz w:val="28"/>
          <w14:textFill>
            <w14:solidFill>
              <w14:schemeClr w14:val="tx1"/>
            </w14:solidFill>
          </w14:textFill>
        </w:rPr>
        <w:instrText xml:space="preserve"> FORMTEXT </w:instrText>
      </w:r>
      <w:r>
        <w:rPr>
          <w:rFonts w:hAnsi="黑体"/>
          <w:color w:val="000000" w:themeColor="text1"/>
          <w:w w:val="100"/>
          <w:sz w:val="28"/>
          <w14:textFill>
            <w14:solidFill>
              <w14:schemeClr w14:val="tx1"/>
            </w14:solidFill>
          </w14:textFill>
        </w:rPr>
        <w:fldChar w:fldCharType="separate"/>
      </w:r>
      <w:r>
        <w:rPr>
          <w:rFonts w:hint="eastAsia" w:hAnsi="黑体"/>
          <w:color w:val="000000" w:themeColor="text1"/>
          <w:w w:val="100"/>
          <w:sz w:val="28"/>
          <w14:textFill>
            <w14:solidFill>
              <w14:schemeClr w14:val="tx1"/>
            </w14:solidFill>
          </w14:textFill>
        </w:rPr>
        <w:t>江苏省</w:t>
      </w:r>
      <w:r>
        <w:rPr>
          <w:rFonts w:hAnsi="黑体"/>
          <w:color w:val="000000" w:themeColor="text1"/>
          <w:w w:val="100"/>
          <w:sz w:val="28"/>
          <w14:textFill>
            <w14:solidFill>
              <w14:schemeClr w14:val="tx1"/>
            </w14:solidFill>
          </w14:textFill>
        </w:rPr>
        <w:t>市场监督管理局</w:t>
      </w:r>
      <w:r>
        <w:rPr>
          <w:rFonts w:hAnsi="黑体"/>
          <w:color w:val="000000" w:themeColor="text1"/>
          <w:w w:val="100"/>
          <w:sz w:val="28"/>
          <w14:textFill>
            <w14:solidFill>
              <w14:schemeClr w14:val="tx1"/>
            </w14:solidFill>
          </w14:textFill>
        </w:rPr>
        <w:fldChar w:fldCharType="end"/>
      </w:r>
      <w:bookmarkEnd w:id="19"/>
      <w:r>
        <w:rPr>
          <w:rFonts w:ascii="Times New Roman"/>
          <w:color w:val="000000" w:themeColor="text1"/>
          <w:w w:val="100"/>
          <w:sz w:val="28"/>
          <w14:textFill>
            <w14:solidFill>
              <w14:schemeClr w14:val="tx1"/>
            </w14:solidFill>
          </w14:textFill>
        </w:rPr>
        <w:t>  </w:t>
      </w:r>
      <w:r>
        <w:rPr>
          <w:rStyle w:val="233"/>
          <w:rFonts w:hint="eastAsia" w:hAnsi="黑体"/>
          <w:color w:val="000000" w:themeColor="text1"/>
          <w:position w:val="0"/>
          <w14:textFill>
            <w14:solidFill>
              <w14:schemeClr w14:val="tx1"/>
            </w14:solidFill>
          </w14:textFill>
        </w:rPr>
        <w:t>发</w:t>
      </w:r>
      <w:r>
        <w:rPr>
          <w:rStyle w:val="233"/>
          <w:rFonts w:hint="eastAsia" w:hAnsi="黑体"/>
          <w:color w:val="000000" w:themeColor="text1"/>
          <w:spacing w:val="0"/>
          <w:position w:val="0"/>
          <w14:textFill>
            <w14:solidFill>
              <w14:schemeClr w14:val="tx1"/>
            </w14:solidFill>
          </w14:textFill>
        </w:rPr>
        <w:t>布</w:t>
      </w:r>
    </w:p>
    <w:p w14:paraId="1101D2FC">
      <w:pPr>
        <w:rPr>
          <w:rFonts w:ascii="宋体" w:hAnsi="宋体"/>
          <w:color w:val="000000" w:themeColor="text1"/>
          <w:sz w:val="28"/>
          <w:szCs w:val="28"/>
          <w14:textFill>
            <w14:solidFill>
              <w14:schemeClr w14:val="tx1"/>
            </w14:solidFill>
          </w14:textFill>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color w:val="000000" w:themeColor="text1"/>
          <w:sz w:val="28"/>
          <w:szCs w:val="28"/>
          <w14:textFill>
            <w14:solidFill>
              <w14:schemeClr w14:val="tx1"/>
            </w14:solidFill>
          </w14:textFill>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3F8F6F7">
      <w:pPr>
        <w:pStyle w:val="95"/>
        <w:spacing w:after="468"/>
      </w:pPr>
      <w:bookmarkStart w:id="20" w:name="BookMark1"/>
      <w:bookmarkStart w:id="21" w:name="_Toc155866394"/>
      <w:bookmarkStart w:id="22" w:name="_Toc141690849"/>
      <w:bookmarkStart w:id="23" w:name="_Toc150435600"/>
      <w:bookmarkStart w:id="24" w:name="_Toc155793337"/>
      <w:bookmarkStart w:id="25" w:name="_Toc167894870"/>
      <w:bookmarkStart w:id="26" w:name="_Toc154393423"/>
      <w:bookmarkStart w:id="27" w:name="_Toc164863321"/>
      <w:bookmarkStart w:id="28" w:name="_Toc134628768"/>
      <w:bookmarkStart w:id="29" w:name="_Toc167980170"/>
      <w:bookmarkStart w:id="30" w:name="_Toc155860909"/>
      <w:bookmarkStart w:id="31" w:name="_Toc141456964"/>
      <w:bookmarkStart w:id="32" w:name="_Toc168473763"/>
      <w:bookmarkStart w:id="33" w:name="_Toc161240694"/>
      <w:bookmarkStart w:id="34" w:name="_Toc170398204"/>
      <w:bookmarkStart w:id="35" w:name="_Toc170900452"/>
      <w:bookmarkStart w:id="36" w:name="_Toc162339004"/>
      <w:bookmarkStart w:id="37" w:name="_Toc138606109"/>
      <w:bookmarkStart w:id="38" w:name="_Toc134622479"/>
      <w:bookmarkStart w:id="39" w:name="_Toc167894418"/>
      <w:bookmarkStart w:id="40" w:name="_Toc155871070"/>
      <w:bookmarkStart w:id="41" w:name="_Toc161752908"/>
      <w:bookmarkStart w:id="42" w:name="_Toc162013369"/>
      <w:bookmarkStart w:id="43" w:name="_Toc169514926"/>
      <w:bookmarkStart w:id="44" w:name="_Toc132039444"/>
      <w:bookmarkStart w:id="45" w:name="_Toc133333626"/>
      <w:bookmarkStart w:id="46" w:name="_Toc171325648"/>
      <w:bookmarkStart w:id="47" w:name="_Toc132039488"/>
      <w:bookmarkStart w:id="48" w:name="_Toc141454892"/>
      <w:bookmarkStart w:id="49" w:name="_Toc132125504"/>
      <w:bookmarkStart w:id="50" w:name="_Toc162537316"/>
      <w:bookmarkStart w:id="51" w:name="_Toc162013341"/>
      <w:bookmarkStart w:id="52" w:name="_Toc169012549"/>
      <w:r>
        <w:rPr>
          <w:rFonts w:hint="eastAsia"/>
          <w:spacing w:val="320"/>
        </w:rPr>
        <w:t>目</w:t>
      </w:r>
      <w:r>
        <w:rPr>
          <w:rFonts w:hint="eastAsia"/>
        </w:rPr>
        <w:t>次</w:t>
      </w:r>
    </w:p>
    <w:p w14:paraId="3444A7C7">
      <w:pPr>
        <w:pStyle w:val="20"/>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"_Toc171584686" </w:instrText>
      </w:r>
      <w:r>
        <w:fldChar w:fldCharType="separate"/>
      </w:r>
      <w:r>
        <w:rPr>
          <w:rStyle w:val="35"/>
          <w:rFonts w:hint="eastAsia"/>
        </w:rPr>
        <w:t>前言</w:t>
      </w:r>
      <w:r>
        <w:tab/>
      </w:r>
      <w:r>
        <w:fldChar w:fldCharType="begin"/>
      </w:r>
      <w:r>
        <w:instrText xml:space="preserve"> PAGEREF _Toc171584686 \h </w:instrText>
      </w:r>
      <w:r>
        <w:fldChar w:fldCharType="separate"/>
      </w:r>
      <w:r>
        <w:t>II</w:t>
      </w:r>
      <w:r>
        <w:fldChar w:fldCharType="end"/>
      </w:r>
      <w:r>
        <w:fldChar w:fldCharType="end"/>
      </w:r>
    </w:p>
    <w:p w14:paraId="1FDFA31B">
      <w:pPr>
        <w:pStyle w:val="20"/>
        <w:tabs>
          <w:tab w:val="right" w:leader="dot" w:pos="9344"/>
        </w:tabs>
        <w:rPr>
          <w:rFonts w:asciiTheme="minorHAnsi" w:hAnsiTheme="minorHAnsi" w:eastAsiaTheme="minorEastAsia" w:cstheme="minorBidi"/>
          <w:szCs w:val="22"/>
        </w:rPr>
      </w:pPr>
      <w:r>
        <w:fldChar w:fldCharType="begin"/>
      </w:r>
      <w:r>
        <w:instrText xml:space="preserve"> HYPERLINK \l "_Toc171584687" </w:instrText>
      </w:r>
      <w:r>
        <w:fldChar w:fldCharType="separate"/>
      </w:r>
      <w:r>
        <w:rPr>
          <w:rStyle w:val="35"/>
        </w:rPr>
        <w:t xml:space="preserve">1 </w:t>
      </w:r>
      <w:r>
        <w:rPr>
          <w:rStyle w:val="35"/>
          <w:rFonts w:hint="eastAsia"/>
        </w:rPr>
        <w:t xml:space="preserve"> 范围</w:t>
      </w:r>
      <w:r>
        <w:tab/>
      </w:r>
      <w:r>
        <w:fldChar w:fldCharType="begin"/>
      </w:r>
      <w:r>
        <w:instrText xml:space="preserve"> PAGEREF _Toc171584687 \h </w:instrText>
      </w:r>
      <w:r>
        <w:fldChar w:fldCharType="separate"/>
      </w:r>
      <w:r>
        <w:t>1</w:t>
      </w:r>
      <w:r>
        <w:fldChar w:fldCharType="end"/>
      </w:r>
      <w:r>
        <w:fldChar w:fldCharType="end"/>
      </w:r>
    </w:p>
    <w:p w14:paraId="6AA5E64D">
      <w:pPr>
        <w:pStyle w:val="20"/>
        <w:tabs>
          <w:tab w:val="right" w:leader="dot" w:pos="9344"/>
        </w:tabs>
        <w:rPr>
          <w:rFonts w:asciiTheme="minorHAnsi" w:hAnsiTheme="minorHAnsi" w:eastAsiaTheme="minorEastAsia" w:cstheme="minorBidi"/>
          <w:szCs w:val="22"/>
        </w:rPr>
      </w:pPr>
      <w:r>
        <w:fldChar w:fldCharType="begin"/>
      </w:r>
      <w:r>
        <w:instrText xml:space="preserve"> HYPERLINK \l "_Toc171584688" </w:instrText>
      </w:r>
      <w:r>
        <w:fldChar w:fldCharType="separate"/>
      </w:r>
      <w:r>
        <w:rPr>
          <w:rStyle w:val="35"/>
        </w:rPr>
        <w:t xml:space="preserve">2 </w:t>
      </w:r>
      <w:r>
        <w:rPr>
          <w:rStyle w:val="35"/>
          <w:rFonts w:hint="eastAsia"/>
        </w:rPr>
        <w:t xml:space="preserve"> 规范性引用文件</w:t>
      </w:r>
      <w:r>
        <w:tab/>
      </w:r>
      <w:r>
        <w:fldChar w:fldCharType="begin"/>
      </w:r>
      <w:r>
        <w:instrText xml:space="preserve"> PAGEREF _Toc171584688 \h </w:instrText>
      </w:r>
      <w:r>
        <w:fldChar w:fldCharType="separate"/>
      </w:r>
      <w:r>
        <w:t>1</w:t>
      </w:r>
      <w:r>
        <w:fldChar w:fldCharType="end"/>
      </w:r>
      <w:r>
        <w:fldChar w:fldCharType="end"/>
      </w:r>
    </w:p>
    <w:p w14:paraId="1219BAD2">
      <w:pPr>
        <w:pStyle w:val="20"/>
        <w:tabs>
          <w:tab w:val="right" w:leader="dot" w:pos="9344"/>
        </w:tabs>
        <w:rPr>
          <w:rFonts w:asciiTheme="minorHAnsi" w:hAnsiTheme="minorHAnsi" w:eastAsiaTheme="minorEastAsia" w:cstheme="minorBidi"/>
          <w:szCs w:val="22"/>
        </w:rPr>
      </w:pPr>
      <w:r>
        <w:fldChar w:fldCharType="begin"/>
      </w:r>
      <w:r>
        <w:instrText xml:space="preserve"> HYPERLINK \l "_Toc171584689" </w:instrText>
      </w:r>
      <w:r>
        <w:fldChar w:fldCharType="separate"/>
      </w:r>
      <w:r>
        <w:rPr>
          <w:rStyle w:val="35"/>
        </w:rPr>
        <w:t xml:space="preserve">3 </w:t>
      </w:r>
      <w:r>
        <w:rPr>
          <w:rStyle w:val="35"/>
          <w:rFonts w:hint="eastAsia"/>
        </w:rPr>
        <w:t xml:space="preserve"> 术语和定义</w:t>
      </w:r>
      <w:r>
        <w:tab/>
      </w:r>
      <w:r>
        <w:fldChar w:fldCharType="begin"/>
      </w:r>
      <w:r>
        <w:instrText xml:space="preserve"> PAGEREF _Toc171584689 \h </w:instrText>
      </w:r>
      <w:r>
        <w:fldChar w:fldCharType="separate"/>
      </w:r>
      <w:r>
        <w:t>1</w:t>
      </w:r>
      <w:r>
        <w:fldChar w:fldCharType="end"/>
      </w:r>
      <w:r>
        <w:fldChar w:fldCharType="end"/>
      </w:r>
    </w:p>
    <w:p w14:paraId="4B26F2B4">
      <w:pPr>
        <w:pStyle w:val="20"/>
        <w:tabs>
          <w:tab w:val="right" w:leader="dot" w:pos="9344"/>
        </w:tabs>
        <w:rPr>
          <w:rFonts w:asciiTheme="minorHAnsi" w:hAnsiTheme="minorHAnsi" w:eastAsiaTheme="minorEastAsia" w:cstheme="minorBidi"/>
          <w:szCs w:val="22"/>
        </w:rPr>
      </w:pPr>
      <w:r>
        <w:fldChar w:fldCharType="begin"/>
      </w:r>
      <w:r>
        <w:instrText xml:space="preserve"> HYPERLINK \l "_Toc171584690" </w:instrText>
      </w:r>
      <w:r>
        <w:fldChar w:fldCharType="separate"/>
      </w:r>
      <w:r>
        <w:rPr>
          <w:rStyle w:val="35"/>
        </w:rPr>
        <w:t xml:space="preserve">4 </w:t>
      </w:r>
      <w:r>
        <w:rPr>
          <w:rStyle w:val="35"/>
          <w:rFonts w:hint="eastAsia"/>
        </w:rPr>
        <w:t xml:space="preserve"> 总体要求</w:t>
      </w:r>
      <w:r>
        <w:tab/>
      </w:r>
      <w:r>
        <w:fldChar w:fldCharType="begin"/>
      </w:r>
      <w:r>
        <w:instrText xml:space="preserve"> PAGEREF _Toc171584690 \h </w:instrText>
      </w:r>
      <w:r>
        <w:fldChar w:fldCharType="separate"/>
      </w:r>
      <w:r>
        <w:t>1</w:t>
      </w:r>
      <w:r>
        <w:fldChar w:fldCharType="end"/>
      </w:r>
      <w:r>
        <w:fldChar w:fldCharType="end"/>
      </w:r>
    </w:p>
    <w:p w14:paraId="4A5D65C4">
      <w:pPr>
        <w:pStyle w:val="20"/>
        <w:tabs>
          <w:tab w:val="right" w:leader="dot" w:pos="9344"/>
        </w:tabs>
        <w:rPr>
          <w:rFonts w:asciiTheme="minorHAnsi" w:hAnsiTheme="minorHAnsi" w:eastAsiaTheme="minorEastAsia" w:cstheme="minorBidi"/>
          <w:szCs w:val="22"/>
        </w:rPr>
      </w:pPr>
      <w:r>
        <w:fldChar w:fldCharType="begin"/>
      </w:r>
      <w:r>
        <w:instrText xml:space="preserve"> HYPERLINK \l "_Toc171584691" </w:instrText>
      </w:r>
      <w:r>
        <w:fldChar w:fldCharType="separate"/>
      </w:r>
      <w:r>
        <w:rPr>
          <w:rStyle w:val="35"/>
        </w:rPr>
        <w:t xml:space="preserve">5 </w:t>
      </w:r>
      <w:r>
        <w:rPr>
          <w:rStyle w:val="35"/>
          <w:rFonts w:hint="eastAsia"/>
        </w:rPr>
        <w:t xml:space="preserve"> 归档流程</w:t>
      </w:r>
      <w:r>
        <w:tab/>
      </w:r>
      <w:r>
        <w:fldChar w:fldCharType="begin"/>
      </w:r>
      <w:r>
        <w:instrText xml:space="preserve"> PAGEREF _Toc171584691 \h </w:instrText>
      </w:r>
      <w:r>
        <w:fldChar w:fldCharType="separate"/>
      </w:r>
      <w:r>
        <w:t>2</w:t>
      </w:r>
      <w:r>
        <w:fldChar w:fldCharType="end"/>
      </w:r>
      <w:r>
        <w:fldChar w:fldCharType="end"/>
      </w:r>
    </w:p>
    <w:p w14:paraId="509243DC">
      <w:pPr>
        <w:pStyle w:val="20"/>
        <w:tabs>
          <w:tab w:val="right" w:leader="dot" w:pos="9344"/>
        </w:tabs>
        <w:rPr>
          <w:rFonts w:asciiTheme="minorHAnsi" w:hAnsiTheme="minorHAnsi" w:eastAsiaTheme="minorEastAsia" w:cstheme="minorBidi"/>
          <w:szCs w:val="22"/>
        </w:rPr>
      </w:pPr>
      <w:r>
        <w:fldChar w:fldCharType="begin"/>
      </w:r>
      <w:r>
        <w:instrText xml:space="preserve"> HYPERLINK \l "_Toc171584692" </w:instrText>
      </w:r>
      <w:r>
        <w:fldChar w:fldCharType="separate"/>
      </w:r>
      <w:r>
        <w:rPr>
          <w:rStyle w:val="35"/>
        </w:rPr>
        <w:t xml:space="preserve">6 </w:t>
      </w:r>
      <w:r>
        <w:rPr>
          <w:rStyle w:val="35"/>
          <w:rFonts w:hint="eastAsia"/>
        </w:rPr>
        <w:t xml:space="preserve"> 归档要求</w:t>
      </w:r>
      <w:r>
        <w:tab/>
      </w:r>
      <w:r>
        <w:fldChar w:fldCharType="begin"/>
      </w:r>
      <w:r>
        <w:instrText xml:space="preserve"> PAGEREF _Toc171584692 \h </w:instrText>
      </w:r>
      <w:r>
        <w:fldChar w:fldCharType="separate"/>
      </w:r>
      <w:r>
        <w:t>3</w:t>
      </w:r>
      <w:r>
        <w:fldChar w:fldCharType="end"/>
      </w:r>
      <w:r>
        <w:fldChar w:fldCharType="end"/>
      </w:r>
    </w:p>
    <w:p w14:paraId="4FE8CC4B">
      <w:pPr>
        <w:pStyle w:val="25"/>
        <w:rPr>
          <w:rFonts w:asciiTheme="minorHAnsi" w:hAnsiTheme="minorHAnsi" w:eastAsiaTheme="minorEastAsia" w:cstheme="minorBidi"/>
          <w:szCs w:val="22"/>
        </w:rPr>
      </w:pPr>
      <w:r>
        <w:fldChar w:fldCharType="begin"/>
      </w:r>
      <w:r>
        <w:instrText xml:space="preserve"> HYPERLINK \l "_Toc171584693" </w:instrText>
      </w:r>
      <w:r>
        <w:fldChar w:fldCharType="separate"/>
      </w:r>
      <w:r>
        <w:rPr>
          <w:rStyle w:val="35"/>
          <w14:scene3d w14:prst="orthographicFront">
            <w14:lightRig w14:rig="threePt" w14:dir="t">
              <w14:rot w14:lat="0" w14:lon="0" w14:rev="0"/>
            </w14:lightRig>
          </w14:scene3d>
        </w:rPr>
        <w:t xml:space="preserve">6.1 </w:t>
      </w:r>
      <w:r>
        <w:rPr>
          <w:rStyle w:val="35"/>
          <w:rFonts w:hint="eastAsia"/>
        </w:rPr>
        <w:t xml:space="preserve"> 事项配置阶段</w:t>
      </w:r>
      <w:r>
        <w:tab/>
      </w:r>
      <w:r>
        <w:fldChar w:fldCharType="begin"/>
      </w:r>
      <w:r>
        <w:instrText xml:space="preserve"> PAGEREF _Toc171584693 \h </w:instrText>
      </w:r>
      <w:r>
        <w:fldChar w:fldCharType="separate"/>
      </w:r>
      <w:r>
        <w:t>3</w:t>
      </w:r>
      <w:r>
        <w:fldChar w:fldCharType="end"/>
      </w:r>
      <w:r>
        <w:fldChar w:fldCharType="end"/>
      </w:r>
    </w:p>
    <w:p w14:paraId="6D2B43E8">
      <w:pPr>
        <w:pStyle w:val="25"/>
        <w:rPr>
          <w:rFonts w:asciiTheme="minorHAnsi" w:hAnsiTheme="minorHAnsi" w:eastAsiaTheme="minorEastAsia" w:cstheme="minorBidi"/>
          <w:szCs w:val="22"/>
        </w:rPr>
      </w:pPr>
      <w:r>
        <w:fldChar w:fldCharType="begin"/>
      </w:r>
      <w:r>
        <w:instrText xml:space="preserve"> HYPERLINK \l "_Toc171584694" </w:instrText>
      </w:r>
      <w:r>
        <w:fldChar w:fldCharType="separate"/>
      </w:r>
      <w:r>
        <w:rPr>
          <w:rStyle w:val="35"/>
          <w14:scene3d w14:prst="orthographicFront">
            <w14:lightRig w14:rig="threePt" w14:dir="t">
              <w14:rot w14:lat="0" w14:lon="0" w14:rev="0"/>
            </w14:lightRig>
          </w14:scene3d>
        </w:rPr>
        <w:t xml:space="preserve">6.2 </w:t>
      </w:r>
      <w:r>
        <w:rPr>
          <w:rStyle w:val="35"/>
          <w:rFonts w:hint="eastAsia"/>
        </w:rPr>
        <w:t xml:space="preserve"> 预归档阶段</w:t>
      </w:r>
      <w:r>
        <w:tab/>
      </w:r>
      <w:r>
        <w:fldChar w:fldCharType="begin"/>
      </w:r>
      <w:r>
        <w:instrText xml:space="preserve"> PAGEREF _Toc171584694 \h </w:instrText>
      </w:r>
      <w:r>
        <w:fldChar w:fldCharType="separate"/>
      </w:r>
      <w:r>
        <w:t>4</w:t>
      </w:r>
      <w:r>
        <w:fldChar w:fldCharType="end"/>
      </w:r>
      <w:r>
        <w:fldChar w:fldCharType="end"/>
      </w:r>
    </w:p>
    <w:p w14:paraId="33E28055">
      <w:pPr>
        <w:pStyle w:val="25"/>
        <w:rPr>
          <w:rFonts w:asciiTheme="minorHAnsi" w:hAnsiTheme="minorHAnsi" w:eastAsiaTheme="minorEastAsia" w:cstheme="minorBidi"/>
          <w:szCs w:val="22"/>
        </w:rPr>
      </w:pPr>
      <w:r>
        <w:fldChar w:fldCharType="begin"/>
      </w:r>
      <w:r>
        <w:instrText xml:space="preserve"> HYPERLINK \l "_Toc171584695" </w:instrText>
      </w:r>
      <w:r>
        <w:fldChar w:fldCharType="separate"/>
      </w:r>
      <w:r>
        <w:rPr>
          <w:rStyle w:val="35"/>
          <w14:scene3d w14:prst="orthographicFront">
            <w14:lightRig w14:rig="threePt" w14:dir="t">
              <w14:rot w14:lat="0" w14:lon="0" w14:rev="0"/>
            </w14:lightRig>
          </w14:scene3d>
        </w:rPr>
        <w:t xml:space="preserve">6.3 </w:t>
      </w:r>
      <w:r>
        <w:rPr>
          <w:rStyle w:val="35"/>
          <w:rFonts w:hint="eastAsia"/>
        </w:rPr>
        <w:t xml:space="preserve"> 正式归档阶段</w:t>
      </w:r>
      <w:r>
        <w:tab/>
      </w:r>
      <w:r>
        <w:fldChar w:fldCharType="begin"/>
      </w:r>
      <w:r>
        <w:instrText xml:space="preserve"> PAGEREF _Toc171584695 \h </w:instrText>
      </w:r>
      <w:r>
        <w:fldChar w:fldCharType="separate"/>
      </w:r>
      <w:r>
        <w:t>5</w:t>
      </w:r>
      <w:r>
        <w:fldChar w:fldCharType="end"/>
      </w:r>
      <w:r>
        <w:fldChar w:fldCharType="end"/>
      </w:r>
    </w:p>
    <w:p w14:paraId="0B6487B9">
      <w:pPr>
        <w:pStyle w:val="20"/>
        <w:tabs>
          <w:tab w:val="right" w:leader="dot" w:pos="9344"/>
        </w:tabs>
        <w:rPr>
          <w:rFonts w:asciiTheme="minorHAnsi" w:hAnsiTheme="minorHAnsi" w:eastAsiaTheme="minorEastAsia" w:cstheme="minorBidi"/>
          <w:szCs w:val="22"/>
        </w:rPr>
      </w:pPr>
      <w:r>
        <w:fldChar w:fldCharType="begin"/>
      </w:r>
      <w:r>
        <w:instrText xml:space="preserve"> HYPERLINK \l "_Toc171584696" </w:instrText>
      </w:r>
      <w:r>
        <w:fldChar w:fldCharType="separate"/>
      </w:r>
      <w:r>
        <w:rPr>
          <w:rStyle w:val="35"/>
        </w:rPr>
        <w:t xml:space="preserve">7 </w:t>
      </w:r>
      <w:r>
        <w:rPr>
          <w:rStyle w:val="35"/>
          <w:rFonts w:hint="eastAsia"/>
        </w:rPr>
        <w:t xml:space="preserve"> 电子档案单套管理要求</w:t>
      </w:r>
      <w:r>
        <w:tab/>
      </w:r>
      <w:r>
        <w:fldChar w:fldCharType="begin"/>
      </w:r>
      <w:r>
        <w:instrText xml:space="preserve"> PAGEREF _Toc171584696 \h </w:instrText>
      </w:r>
      <w:r>
        <w:fldChar w:fldCharType="separate"/>
      </w:r>
      <w:r>
        <w:t>5</w:t>
      </w:r>
      <w:r>
        <w:fldChar w:fldCharType="end"/>
      </w:r>
      <w:r>
        <w:fldChar w:fldCharType="end"/>
      </w:r>
    </w:p>
    <w:p w14:paraId="60E26D01">
      <w:pPr>
        <w:pStyle w:val="20"/>
        <w:tabs>
          <w:tab w:val="right" w:leader="dot" w:pos="9344"/>
        </w:tabs>
        <w:rPr>
          <w:rFonts w:asciiTheme="minorHAnsi" w:hAnsiTheme="minorHAnsi" w:eastAsiaTheme="minorEastAsia" w:cstheme="minorBidi"/>
          <w:szCs w:val="22"/>
        </w:rPr>
      </w:pPr>
      <w:r>
        <w:fldChar w:fldCharType="begin"/>
      </w:r>
      <w:r>
        <w:instrText xml:space="preserve"> HYPERLINK \l "_Toc171584697" </w:instrText>
      </w:r>
      <w:r>
        <w:fldChar w:fldCharType="separate"/>
      </w:r>
      <w:r>
        <w:rPr>
          <w:rStyle w:val="35"/>
          <w:rFonts w:hint="eastAsia"/>
        </w:rPr>
        <w:t>附录A（资料性）</w:t>
      </w:r>
      <w:r>
        <w:rPr>
          <w:rStyle w:val="35"/>
        </w:rPr>
        <w:t xml:space="preserve">  </w:t>
      </w:r>
      <w:r>
        <w:rPr>
          <w:rStyle w:val="35"/>
          <w:rFonts w:hint="eastAsia"/>
        </w:rPr>
        <w:t>政务服务全程网办电子文件单套归档范围和档案保管期限表</w:t>
      </w:r>
      <w:r>
        <w:tab/>
      </w:r>
      <w:r>
        <w:fldChar w:fldCharType="begin"/>
      </w:r>
      <w:r>
        <w:instrText xml:space="preserve"> PAGEREF _Toc171584697 \h </w:instrText>
      </w:r>
      <w:r>
        <w:fldChar w:fldCharType="separate"/>
      </w:r>
      <w:r>
        <w:t>6</w:t>
      </w:r>
      <w:r>
        <w:fldChar w:fldCharType="end"/>
      </w:r>
      <w:r>
        <w:fldChar w:fldCharType="end"/>
      </w:r>
    </w:p>
    <w:p w14:paraId="578D314F">
      <w:pPr>
        <w:pStyle w:val="20"/>
        <w:tabs>
          <w:tab w:val="right" w:leader="dot" w:pos="9344"/>
        </w:tabs>
        <w:rPr>
          <w:rFonts w:asciiTheme="minorHAnsi" w:hAnsiTheme="minorHAnsi" w:eastAsiaTheme="minorEastAsia" w:cstheme="minorBidi"/>
          <w:szCs w:val="22"/>
        </w:rPr>
      </w:pPr>
      <w:r>
        <w:fldChar w:fldCharType="begin"/>
      </w:r>
      <w:r>
        <w:instrText xml:space="preserve"> HYPERLINK \l "_Toc171584698" </w:instrText>
      </w:r>
      <w:r>
        <w:fldChar w:fldCharType="separate"/>
      </w:r>
      <w:r>
        <w:rPr>
          <w:rStyle w:val="35"/>
          <w:rFonts w:hint="eastAsia"/>
        </w:rPr>
        <w:t>参考文献</w:t>
      </w:r>
      <w:r>
        <w:tab/>
      </w:r>
      <w:r>
        <w:fldChar w:fldCharType="begin"/>
      </w:r>
      <w:r>
        <w:instrText xml:space="preserve"> PAGEREF _Toc171584698 \h </w:instrText>
      </w:r>
      <w:r>
        <w:fldChar w:fldCharType="separate"/>
      </w:r>
      <w:r>
        <w:t>7</w:t>
      </w:r>
      <w:r>
        <w:fldChar w:fldCharType="end"/>
      </w:r>
      <w:r>
        <w:fldChar w:fldCharType="end"/>
      </w:r>
    </w:p>
    <w:p w14:paraId="56C26E8B">
      <w:pPr>
        <w:pStyle w:val="95"/>
        <w:spacing w:after="468"/>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0"/>
    <w:p w14:paraId="3E32C5F9">
      <w:pPr>
        <w:pStyle w:val="93"/>
        <w:spacing w:before="900" w:after="468"/>
        <w:rPr>
          <w:color w:val="000000" w:themeColor="text1"/>
          <w14:textFill>
            <w14:solidFill>
              <w14:schemeClr w14:val="tx1"/>
            </w14:solidFill>
          </w14:textFill>
        </w:rPr>
      </w:pPr>
      <w:bookmarkStart w:id="53" w:name="_Toc171584686"/>
      <w:bookmarkStart w:id="54" w:name="BookMark2"/>
      <w:r>
        <w:rPr>
          <w:color w:val="000000" w:themeColor="text1"/>
          <w:spacing w:val="320"/>
          <w14:textFill>
            <w14:solidFill>
              <w14:schemeClr w14:val="tx1"/>
            </w14:solidFill>
          </w14:textFill>
        </w:rPr>
        <w:t>前</w:t>
      </w:r>
      <w:r>
        <w:rPr>
          <w:color w:val="000000" w:themeColor="text1"/>
          <w14:textFill>
            <w14:solidFill>
              <w14:schemeClr w14:val="tx1"/>
            </w14:solidFill>
          </w14:textFill>
        </w:rPr>
        <w:t>言</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5E9EAB5B">
      <w:pPr>
        <w:pStyle w:val="60"/>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本文件按照GB/T 1.1—2020《标准化工作导则  第1部分：标准化文件的结构和起草规则》的规定起草。</w:t>
      </w:r>
    </w:p>
    <w:p w14:paraId="48A9BDD1">
      <w:pPr>
        <w:pStyle w:val="60"/>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请注意本文件</w:t>
      </w:r>
      <w:r>
        <w:rPr>
          <w:color w:val="000000" w:themeColor="text1"/>
          <w14:textFill>
            <w14:solidFill>
              <w14:schemeClr w14:val="tx1"/>
            </w14:solidFill>
          </w14:textFill>
        </w:rPr>
        <w:t>的某些内容可能涉及专利。本文件</w:t>
      </w:r>
      <w:r>
        <w:rPr>
          <w:rFonts w:hint="eastAsia"/>
          <w:color w:val="000000" w:themeColor="text1"/>
          <w14:textFill>
            <w14:solidFill>
              <w14:schemeClr w14:val="tx1"/>
            </w14:solidFill>
          </w14:textFill>
        </w:rPr>
        <w:t>的</w:t>
      </w:r>
      <w:r>
        <w:rPr>
          <w:color w:val="000000" w:themeColor="text1"/>
          <w14:textFill>
            <w14:solidFill>
              <w14:schemeClr w14:val="tx1"/>
            </w14:solidFill>
          </w14:textFill>
        </w:rPr>
        <w:t>发布机构不承担识别专利的责任。</w:t>
      </w:r>
    </w:p>
    <w:p w14:paraId="14F509FC">
      <w:pPr>
        <w:pStyle w:val="60"/>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本文件由江苏省数据局提出并组织实施。</w:t>
      </w:r>
    </w:p>
    <w:p w14:paraId="500163F5">
      <w:pPr>
        <w:pStyle w:val="60"/>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本文件由江苏省</w:t>
      </w:r>
      <w:r>
        <w:rPr>
          <w:color w:val="000000" w:themeColor="text1"/>
          <w14:textFill>
            <w14:solidFill>
              <w14:schemeClr w14:val="tx1"/>
            </w14:solidFill>
          </w14:textFill>
        </w:rPr>
        <w:t>政务服务</w:t>
      </w:r>
      <w:r>
        <w:rPr>
          <w:rFonts w:hint="eastAsia"/>
          <w:color w:val="000000" w:themeColor="text1"/>
          <w:lang w:val="en-US" w:eastAsia="zh-CN"/>
          <w14:textFill>
            <w14:solidFill>
              <w14:schemeClr w14:val="tx1"/>
            </w14:solidFill>
          </w14:textFill>
        </w:rPr>
        <w:t>标准化技术委员会</w:t>
      </w:r>
      <w:r>
        <w:rPr>
          <w:color w:val="000000" w:themeColor="text1"/>
          <w14:textFill>
            <w14:solidFill>
              <w14:schemeClr w14:val="tx1"/>
            </w14:solidFill>
          </w14:textFill>
        </w:rPr>
        <w:t>归口。</w:t>
      </w:r>
    </w:p>
    <w:p w14:paraId="3C117D8A">
      <w:pPr>
        <w:pStyle w:val="60"/>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本文件起草单位：</w:t>
      </w:r>
      <w:bookmarkStart w:id="312" w:name="_GoBack"/>
      <w:r>
        <w:rPr>
          <w:rFonts w:hint="eastAsia"/>
          <w:color w:val="000000" w:themeColor="text1"/>
          <w14:textFill>
            <w14:solidFill>
              <w14:schemeClr w14:val="tx1"/>
            </w14:solidFill>
          </w14:textFill>
        </w:rPr>
        <w:t>苏州</w:t>
      </w:r>
      <w:r>
        <w:rPr>
          <w:color w:val="000000" w:themeColor="text1"/>
          <w14:textFill>
            <w14:solidFill>
              <w14:schemeClr w14:val="tx1"/>
            </w14:solidFill>
          </w14:textFill>
        </w:rPr>
        <w:t>工业园区行政审批局、苏州市</w:t>
      </w:r>
      <w:r>
        <w:rPr>
          <w:rFonts w:hint="eastAsia"/>
          <w:color w:val="000000" w:themeColor="text1"/>
          <w14:textFill>
            <w14:solidFill>
              <w14:schemeClr w14:val="tx1"/>
            </w14:solidFill>
          </w14:textFill>
        </w:rPr>
        <w:t>数据局</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苏州市政务服务管理办公室</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、苏州</w:t>
      </w:r>
      <w:r>
        <w:rPr>
          <w:color w:val="000000" w:themeColor="text1"/>
          <w14:textFill>
            <w14:solidFill>
              <w14:schemeClr w14:val="tx1"/>
            </w14:solidFill>
          </w14:textFill>
        </w:rPr>
        <w:t>工业园区一站式服务中心、</w:t>
      </w:r>
      <w:r>
        <w:rPr>
          <w:rFonts w:hint="eastAsia"/>
          <w:color w:val="000000" w:themeColor="text1"/>
          <w14:textFill>
            <w14:solidFill>
              <w14:schemeClr w14:val="tx1"/>
            </w14:solidFill>
          </w14:textFill>
        </w:rPr>
        <w:t>苏州</w:t>
      </w:r>
      <w:r>
        <w:rPr>
          <w:color w:val="000000" w:themeColor="text1"/>
          <w14:textFill>
            <w14:solidFill>
              <w14:schemeClr w14:val="tx1"/>
            </w14:solidFill>
          </w14:textFill>
        </w:rPr>
        <w:t>工业园区档案管理中心、苏州市质量和标准化院</w:t>
      </w:r>
      <w:bookmarkEnd w:id="312"/>
      <w:r>
        <w:rPr>
          <w:color w:val="000000" w:themeColor="text1"/>
          <w14:textFill>
            <w14:solidFill>
              <w14:schemeClr w14:val="tx1"/>
            </w14:solidFill>
          </w14:textFill>
        </w:rPr>
        <w:t>。</w:t>
      </w:r>
    </w:p>
    <w:p w14:paraId="64545BFD">
      <w:pPr>
        <w:pStyle w:val="60"/>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本文件主要起草人：杜丰</w:t>
      </w:r>
      <w:r>
        <w:rPr>
          <w:color w:val="000000" w:themeColor="text1"/>
          <w14:textFill>
            <w14:solidFill>
              <w14:schemeClr w14:val="tx1"/>
            </w14:solidFill>
          </w14:textFill>
        </w:rPr>
        <w:t>、蔡学文、徐</w:t>
      </w:r>
      <w:r>
        <w:rPr>
          <w:rFonts w:hint="eastAsia"/>
          <w:color w:val="000000" w:themeColor="text1"/>
          <w14:textFill>
            <w14:solidFill>
              <w14:schemeClr w14:val="tx1"/>
            </w14:solidFill>
          </w14:textFill>
        </w:rPr>
        <w:t>晓</w:t>
      </w:r>
      <w:r>
        <w:rPr>
          <w:color w:val="000000" w:themeColor="text1"/>
          <w14:textFill>
            <w14:solidFill>
              <w14:schemeClr w14:val="tx1"/>
            </w14:solidFill>
          </w14:textFill>
        </w:rPr>
        <w:t>鸣</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陆绚宇、</w:t>
      </w:r>
      <w:r>
        <w:rPr>
          <w:rFonts w:hint="eastAsia"/>
          <w:color w:val="000000" w:themeColor="text1"/>
          <w14:textFill>
            <w14:solidFill>
              <w14:schemeClr w14:val="tx1"/>
            </w14:solidFill>
          </w14:textFill>
        </w:rPr>
        <w:t>顾振伟、</w:t>
      </w:r>
      <w:r>
        <w:rPr>
          <w:color w:val="000000" w:themeColor="text1"/>
          <w14:textFill>
            <w14:solidFill>
              <w14:schemeClr w14:val="tx1"/>
            </w14:solidFill>
          </w14:textFill>
        </w:rPr>
        <w:t>程江、金波、</w:t>
      </w:r>
      <w:r>
        <w:rPr>
          <w:rFonts w:hint="eastAsia"/>
          <w:color w:val="000000" w:themeColor="text1"/>
          <w14:textFill>
            <w14:solidFill>
              <w14:schemeClr w14:val="tx1"/>
            </w14:solidFill>
          </w14:textFill>
        </w:rPr>
        <w:t>吉祥、王磊</w:t>
      </w:r>
      <w:r>
        <w:rPr>
          <w:color w:val="000000" w:themeColor="text1"/>
          <w14:textFill>
            <w14:solidFill>
              <w14:schemeClr w14:val="tx1"/>
            </w14:solidFill>
          </w14:textFill>
        </w:rPr>
        <w:t>、王丹妮、薛旸。</w:t>
      </w:r>
    </w:p>
    <w:p w14:paraId="23D45DDF">
      <w:pPr>
        <w:pStyle w:val="60"/>
        <w:ind w:firstLine="420"/>
        <w:rPr>
          <w:color w:val="000000" w:themeColor="text1"/>
          <w14:textFill>
            <w14:solidFill>
              <w14:schemeClr w14:val="tx1"/>
            </w14:solidFill>
          </w14:textFill>
        </w:rPr>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type="lines" w:linePitch="312" w:charSpace="0"/>
        </w:sectPr>
      </w:pPr>
    </w:p>
    <w:bookmarkEnd w:id="54"/>
    <w:p w14:paraId="08076052">
      <w:pPr>
        <w:spacing w:line="20" w:lineRule="exact"/>
        <w:jc w:val="center"/>
        <w:rPr>
          <w:rFonts w:ascii="黑体" w:hAnsi="黑体" w:eastAsia="黑体"/>
          <w:color w:val="000000" w:themeColor="text1"/>
          <w:sz w:val="32"/>
          <w:szCs w:val="32"/>
          <w14:textFill>
            <w14:solidFill>
              <w14:schemeClr w14:val="tx1"/>
            </w14:solidFill>
          </w14:textFill>
        </w:rPr>
      </w:pPr>
      <w:bookmarkStart w:id="55" w:name="BookMark4"/>
    </w:p>
    <w:p w14:paraId="3D7EE321">
      <w:pPr>
        <w:spacing w:line="20" w:lineRule="exact"/>
        <w:jc w:val="center"/>
        <w:rPr>
          <w:rFonts w:ascii="黑体" w:hAnsi="黑体" w:eastAsia="黑体"/>
          <w:color w:val="000000" w:themeColor="text1"/>
          <w:sz w:val="32"/>
          <w:szCs w:val="32"/>
          <w14:textFill>
            <w14:solidFill>
              <w14:schemeClr w14:val="tx1"/>
            </w14:solidFill>
          </w14:textFill>
        </w:rPr>
      </w:pPr>
    </w:p>
    <w:sdt>
      <w:sdtPr>
        <w:rPr>
          <w:color w:val="000000" w:themeColor="text1"/>
          <w14:textFill>
            <w14:solidFill>
              <w14:schemeClr w14:val="tx1"/>
            </w14:solidFill>
          </w14:textFill>
        </w:rPr>
        <w:tag w:val="NEW_STAND_NAME"/>
        <w:id w:val="595910757"/>
        <w:lock w:val="sdtLocked"/>
        <w:placeholder>
          <w:docPart w:val="A1765FEF45604B08815E03C60A1D55FA"/>
        </w:placeholder>
      </w:sdtPr>
      <w:sdtEndPr>
        <w:rPr>
          <w:color w:val="000000" w:themeColor="text1"/>
          <w14:textFill>
            <w14:solidFill>
              <w14:schemeClr w14:val="tx1"/>
            </w14:solidFill>
          </w14:textFill>
        </w:rPr>
      </w:sdtEndPr>
      <w:sdtContent>
        <w:p w14:paraId="07A68FC9">
          <w:pPr>
            <w:pStyle w:val="181"/>
            <w:spacing w:before="312" w:beforeLines="100" w:after="686" w:afterLines="220"/>
            <w:rPr>
              <w:color w:val="000000" w:themeColor="text1"/>
              <w14:textFill>
                <w14:solidFill>
                  <w14:schemeClr w14:val="tx1"/>
                </w14:solidFill>
              </w14:textFill>
            </w:rPr>
          </w:pPr>
          <w:bookmarkStart w:id="56" w:name="NEW_STAND_NAME"/>
          <w:r>
            <w:rPr>
              <w:rFonts w:hint="eastAsia"/>
              <w:color w:val="000000" w:themeColor="text1"/>
              <w14:textFill>
                <w14:solidFill>
                  <w14:schemeClr w14:val="tx1"/>
                </w14:solidFill>
              </w14:textFill>
            </w:rPr>
            <w:t>政务服务全程网办电子文件单套归档规范</w:t>
          </w:r>
        </w:p>
      </w:sdtContent>
    </w:sdt>
    <w:bookmarkEnd w:id="56"/>
    <w:p w14:paraId="28EB6AED">
      <w:pPr>
        <w:pStyle w:val="108"/>
        <w:spacing w:before="312" w:after="312"/>
        <w:rPr>
          <w:color w:val="000000" w:themeColor="text1"/>
          <w14:textFill>
            <w14:solidFill>
              <w14:schemeClr w14:val="tx1"/>
            </w14:solidFill>
          </w14:textFill>
        </w:rPr>
      </w:pPr>
      <w:bookmarkStart w:id="57" w:name="_Toc150435601"/>
      <w:bookmarkStart w:id="58" w:name="_Toc167980171"/>
      <w:bookmarkStart w:id="59" w:name="_Toc132039489"/>
      <w:bookmarkStart w:id="60" w:name="_Toc141690850"/>
      <w:bookmarkStart w:id="61" w:name="_Toc162013342"/>
      <w:bookmarkStart w:id="62" w:name="_Toc155793338"/>
      <w:bookmarkStart w:id="63" w:name="_Toc155871071"/>
      <w:bookmarkStart w:id="64" w:name="_Toc141454893"/>
      <w:bookmarkStart w:id="65" w:name="_Toc155866395"/>
      <w:bookmarkStart w:id="66" w:name="_Toc134628769"/>
      <w:bookmarkStart w:id="67" w:name="_Toc167894419"/>
      <w:bookmarkStart w:id="68" w:name="_Toc169514927"/>
      <w:bookmarkStart w:id="69" w:name="_Toc170398205"/>
      <w:bookmarkStart w:id="70" w:name="_Toc155860910"/>
      <w:bookmarkStart w:id="71" w:name="_Toc162013370"/>
      <w:bookmarkStart w:id="72" w:name="_Toc24884211"/>
      <w:bookmarkStart w:id="73" w:name="_Toc138606110"/>
      <w:bookmarkStart w:id="74" w:name="_Toc26986771"/>
      <w:bookmarkStart w:id="75" w:name="_Toc133333627"/>
      <w:bookmarkStart w:id="76" w:name="_Toc17233325"/>
      <w:bookmarkStart w:id="77" w:name="_Toc26718930"/>
      <w:bookmarkStart w:id="78" w:name="_Toc161240695"/>
      <w:bookmarkStart w:id="79" w:name="_Toc26986530"/>
      <w:bookmarkStart w:id="80" w:name="_Toc169012550"/>
      <w:bookmarkStart w:id="81" w:name="_Toc164863322"/>
      <w:bookmarkStart w:id="82" w:name="_Toc167894871"/>
      <w:bookmarkStart w:id="83" w:name="_Toc17233333"/>
      <w:bookmarkStart w:id="84" w:name="_Toc134622480"/>
      <w:bookmarkStart w:id="85" w:name="_Toc162339005"/>
      <w:bookmarkStart w:id="86" w:name="_Toc132039445"/>
      <w:bookmarkStart w:id="87" w:name="_Toc141456965"/>
      <w:bookmarkStart w:id="88" w:name="_Toc132125505"/>
      <w:bookmarkStart w:id="89" w:name="_Toc168473764"/>
      <w:bookmarkStart w:id="90" w:name="_Toc154393424"/>
      <w:bookmarkStart w:id="91" w:name="_Toc26648465"/>
      <w:bookmarkStart w:id="92" w:name="_Toc162537317"/>
      <w:bookmarkStart w:id="93" w:name="_Toc97191423"/>
      <w:bookmarkStart w:id="94" w:name="_Toc24884218"/>
      <w:bookmarkStart w:id="95" w:name="_Toc161752909"/>
      <w:bookmarkStart w:id="96" w:name="_Toc170900453"/>
      <w:bookmarkStart w:id="97" w:name="_Toc171325649"/>
      <w:bookmarkStart w:id="98" w:name="_Toc171584687"/>
      <w:r>
        <w:rPr>
          <w:rFonts w:hint="eastAsia"/>
          <w:color w:val="000000" w:themeColor="text1"/>
          <w14:textFill>
            <w14:solidFill>
              <w14:schemeClr w14:val="tx1"/>
            </w14:solidFill>
          </w14:textFill>
        </w:rPr>
        <w:t>范围</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64AC6D51">
      <w:pPr>
        <w:pStyle w:val="60"/>
        <w:ind w:firstLine="420"/>
        <w:rPr>
          <w:color w:val="000000" w:themeColor="text1"/>
          <w14:textFill>
            <w14:solidFill>
              <w14:schemeClr w14:val="tx1"/>
            </w14:solidFill>
          </w14:textFill>
        </w:rPr>
      </w:pPr>
      <w:bookmarkStart w:id="99" w:name="_Toc17233326"/>
      <w:bookmarkStart w:id="100" w:name="_Toc17233334"/>
      <w:bookmarkStart w:id="101" w:name="_Toc24884219"/>
      <w:bookmarkStart w:id="102" w:name="_Toc26648466"/>
      <w:bookmarkStart w:id="103" w:name="_Toc24884212"/>
      <w:r>
        <w:rPr>
          <w:rFonts w:hint="eastAsia"/>
          <w:color w:val="000000" w:themeColor="text1"/>
          <w14:textFill>
            <w14:solidFill>
              <w14:schemeClr w14:val="tx1"/>
            </w14:solidFill>
          </w14:textFill>
        </w:rPr>
        <w:t>本文件规定了政务服务全程网办电子文件单套归档的总体要求、归档流程、归档要求和电子档案单套管理要求。</w:t>
      </w:r>
    </w:p>
    <w:p w14:paraId="6FFD866C">
      <w:pPr>
        <w:pStyle w:val="60"/>
        <w:ind w:firstLine="420"/>
        <w:rPr>
          <w:color w:val="000000" w:themeColor="text1"/>
          <w14:textFill>
            <w14:solidFill>
              <w14:schemeClr w14:val="tx1"/>
            </w14:solidFill>
          </w14:textFill>
        </w:rPr>
      </w:pPr>
      <w:r>
        <w:rPr>
          <w:color w:val="000000" w:themeColor="text1"/>
          <w14:textFill>
            <w14:solidFill>
              <w14:schemeClr w14:val="tx1"/>
            </w14:solidFill>
          </w14:textFill>
        </w:rPr>
        <w:t>本文件适用于对政务服务</w:t>
      </w:r>
      <w:r>
        <w:rPr>
          <w:rFonts w:hint="eastAsia"/>
          <w:color w:val="000000" w:themeColor="text1"/>
          <w14:textFill>
            <w14:solidFill>
              <w14:schemeClr w14:val="tx1"/>
            </w14:solidFill>
          </w14:textFill>
        </w:rPr>
        <w:t>全流程在线办理过程中</w:t>
      </w:r>
      <w:r>
        <w:rPr>
          <w:color w:val="000000" w:themeColor="text1"/>
          <w14:textFill>
            <w14:solidFill>
              <w14:schemeClr w14:val="tx1"/>
            </w14:solidFill>
          </w14:textFill>
        </w:rPr>
        <w:t>的电子文件单套归档工作。</w:t>
      </w:r>
    </w:p>
    <w:p w14:paraId="630F3D03">
      <w:pPr>
        <w:pStyle w:val="108"/>
        <w:spacing w:before="312" w:after="312"/>
        <w:rPr>
          <w:color w:val="000000" w:themeColor="text1"/>
          <w14:textFill>
            <w14:solidFill>
              <w14:schemeClr w14:val="tx1"/>
            </w14:solidFill>
          </w14:textFill>
        </w:rPr>
      </w:pPr>
      <w:bookmarkStart w:id="104" w:name="_Toc141454894"/>
      <w:bookmarkStart w:id="105" w:name="_Toc155860911"/>
      <w:bookmarkStart w:id="106" w:name="_Toc155871072"/>
      <w:bookmarkStart w:id="107" w:name="_Toc155866396"/>
      <w:bookmarkStart w:id="108" w:name="_Toc134622481"/>
      <w:bookmarkStart w:id="109" w:name="_Toc162013371"/>
      <w:bookmarkStart w:id="110" w:name="_Toc161752910"/>
      <w:bookmarkStart w:id="111" w:name="_Toc154393425"/>
      <w:bookmarkStart w:id="112" w:name="_Toc167894420"/>
      <w:bookmarkStart w:id="113" w:name="_Toc164863323"/>
      <w:bookmarkStart w:id="114" w:name="_Toc167894872"/>
      <w:bookmarkStart w:id="115" w:name="_Toc162537318"/>
      <w:bookmarkStart w:id="116" w:name="_Toc133333628"/>
      <w:bookmarkStart w:id="117" w:name="_Toc132039446"/>
      <w:bookmarkStart w:id="118" w:name="_Toc132039490"/>
      <w:bookmarkStart w:id="119" w:name="_Toc97191424"/>
      <w:bookmarkStart w:id="120" w:name="_Toc26986772"/>
      <w:bookmarkStart w:id="121" w:name="_Toc134628770"/>
      <w:bookmarkStart w:id="122" w:name="_Toc26718931"/>
      <w:bookmarkStart w:id="123" w:name="_Toc162339006"/>
      <w:bookmarkStart w:id="124" w:name="_Toc141690851"/>
      <w:bookmarkStart w:id="125" w:name="_Toc141456966"/>
      <w:bookmarkStart w:id="126" w:name="_Toc169012551"/>
      <w:bookmarkStart w:id="127" w:name="_Toc168473765"/>
      <w:bookmarkStart w:id="128" w:name="_Toc167980172"/>
      <w:bookmarkStart w:id="129" w:name="_Toc155793339"/>
      <w:bookmarkStart w:id="130" w:name="_Toc161240696"/>
      <w:bookmarkStart w:id="131" w:name="_Toc138606111"/>
      <w:bookmarkStart w:id="132" w:name="_Toc170398206"/>
      <w:bookmarkStart w:id="133" w:name="_Toc150435602"/>
      <w:bookmarkStart w:id="134" w:name="_Toc171325650"/>
      <w:bookmarkStart w:id="135" w:name="_Toc132125506"/>
      <w:bookmarkStart w:id="136" w:name="_Toc26986531"/>
      <w:bookmarkStart w:id="137" w:name="_Toc162013343"/>
      <w:bookmarkStart w:id="138" w:name="_Toc169514928"/>
      <w:bookmarkStart w:id="139" w:name="_Toc170900454"/>
      <w:bookmarkStart w:id="140" w:name="_Toc171584688"/>
      <w:r>
        <w:rPr>
          <w:rFonts w:hint="eastAsia"/>
          <w:color w:val="000000" w:themeColor="text1"/>
          <w14:textFill>
            <w14:solidFill>
              <w14:schemeClr w14:val="tx1"/>
            </w14:solidFill>
          </w14:textFill>
        </w:rPr>
        <w:t>规范性引用文件</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sdt>
      <w:sdtPr>
        <w:rPr>
          <w:rFonts w:hint="eastAsia"/>
          <w:color w:val="000000" w:themeColor="text1"/>
          <w14:textFill>
            <w14:solidFill>
              <w14:schemeClr w14:val="tx1"/>
            </w14:solidFill>
          </w14:textFill>
        </w:rPr>
        <w:id w:val="715848253"/>
        <w:placeholder>
          <w:docPart w:val="54A97A1ECB194B11A7319BC2E2E4617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color w:val="000000" w:themeColor="text1"/>
          <w14:textFill>
            <w14:solidFill>
              <w14:schemeClr w14:val="tx1"/>
            </w14:solidFill>
          </w14:textFill>
        </w:rPr>
      </w:sdtEndPr>
      <w:sdtContent>
        <w:p w14:paraId="187EA7B1">
          <w:pPr>
            <w:pStyle w:val="60"/>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B50E55B">
      <w:pPr>
        <w:pStyle w:val="60"/>
        <w:ind w:firstLine="420"/>
        <w:rPr>
          <w:color w:val="000000" w:themeColor="text1"/>
          <w14:textFill>
            <w14:solidFill>
              <w14:schemeClr w14:val="tx1"/>
            </w14:solidFill>
          </w14:textFill>
        </w:rPr>
      </w:pPr>
      <w:r>
        <w:rPr>
          <w:rFonts w:hint="eastAsia"/>
        </w:rPr>
        <w:t>GB</w:t>
      </w:r>
      <w:r>
        <w:t>/T 18894</w:t>
      </w:r>
      <w:r>
        <w:rPr>
          <w:rFonts w:hAnsi="宋体"/>
        </w:rPr>
        <w:t>—</w:t>
      </w:r>
      <w:r>
        <w:t>2016</w:t>
      </w:r>
      <w:r>
        <w:rPr>
          <w:color w:val="000000" w:themeColor="text1"/>
          <w14:textFill>
            <w14:solidFill>
              <w14:schemeClr w14:val="tx1"/>
            </w14:solidFill>
          </w14:textFill>
        </w:rPr>
        <w:t xml:space="preserve">  电子文件归档与电子档案管理规范</w:t>
      </w:r>
    </w:p>
    <w:p w14:paraId="6F5B7964">
      <w:pPr>
        <w:pStyle w:val="60"/>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GB</w:t>
      </w:r>
      <w:r>
        <w:rPr>
          <w:color w:val="000000" w:themeColor="text1"/>
          <w14:textFill>
            <w14:solidFill>
              <w14:schemeClr w14:val="tx1"/>
            </w14:solidFill>
          </w14:textFill>
        </w:rPr>
        <w:t>/T 42727</w:t>
      </w:r>
      <w:r>
        <w:rPr>
          <w:rFonts w:hAnsi="宋体"/>
          <w:color w:val="000000" w:themeColor="text1"/>
          <w14:textFill>
            <w14:solidFill>
              <w14:schemeClr w14:val="tx1"/>
            </w14:solidFill>
          </w14:textFill>
        </w:rPr>
        <w:t>—</w:t>
      </w:r>
      <w:r>
        <w:rPr>
          <w:color w:val="000000" w:themeColor="text1"/>
          <w14:textFill>
            <w14:solidFill>
              <w14:schemeClr w14:val="tx1"/>
            </w14:solidFill>
          </w14:textFill>
        </w:rPr>
        <w:t>2023  政务服务事项电子文件归档规范</w:t>
      </w:r>
    </w:p>
    <w:p w14:paraId="1A983256">
      <w:pPr>
        <w:pStyle w:val="60"/>
        <w:ind w:firstLine="420"/>
        <w:rPr>
          <w:color w:val="000000" w:themeColor="text1"/>
          <w14:textFill>
            <w14:solidFill>
              <w14:schemeClr w14:val="tx1"/>
            </w14:solidFill>
          </w14:textFill>
        </w:rPr>
      </w:pPr>
      <w:r>
        <w:rPr>
          <w:color w:val="000000" w:themeColor="text1"/>
          <w14:textFill>
            <w14:solidFill>
              <w14:schemeClr w14:val="tx1"/>
            </w14:solidFill>
          </w14:textFill>
        </w:rPr>
        <w:t>DA/T 13  档号编制规则</w:t>
      </w:r>
    </w:p>
    <w:p w14:paraId="68908F47">
      <w:pPr>
        <w:pStyle w:val="60"/>
        <w:ind w:firstLine="420"/>
        <w:rPr>
          <w:color w:val="000000" w:themeColor="text1"/>
          <w14:textFill>
            <w14:solidFill>
              <w14:schemeClr w14:val="tx1"/>
            </w14:solidFill>
          </w14:textFill>
        </w:rPr>
      </w:pPr>
      <w:r>
        <w:rPr>
          <w:color w:val="000000" w:themeColor="text1"/>
          <w14:textFill>
            <w14:solidFill>
              <w14:schemeClr w14:val="tx1"/>
            </w14:solidFill>
          </w14:textFill>
        </w:rPr>
        <w:t>DA/T 48  基于XML的电子文件封装规范</w:t>
      </w:r>
    </w:p>
    <w:p w14:paraId="29AA750A">
      <w:pPr>
        <w:pStyle w:val="60"/>
        <w:ind w:firstLine="420"/>
        <w:rPr>
          <w:rFonts w:hAnsi="宋体"/>
          <w:color w:val="000000" w:themeColor="text1"/>
          <w14:textFill>
            <w14:solidFill>
              <w14:schemeClr w14:val="tx1"/>
            </w14:solidFill>
          </w14:textFill>
        </w:rPr>
      </w:pPr>
      <w:r>
        <w:rPr>
          <w:rFonts w:hAnsi="宋体"/>
          <w:color w:val="000000" w:themeColor="text1"/>
          <w14:textFill>
            <w14:solidFill>
              <w14:schemeClr w14:val="tx1"/>
            </w14:solidFill>
          </w14:textFill>
        </w:rPr>
        <w:t>DA/T 92—2022  电子档案单套管理一般要求</w:t>
      </w:r>
    </w:p>
    <w:p w14:paraId="229143DE">
      <w:pPr>
        <w:pStyle w:val="60"/>
        <w:ind w:firstLine="420"/>
        <w:rPr>
          <w:color w:val="000000" w:themeColor="text1"/>
          <w14:textFill>
            <w14:solidFill>
              <w14:schemeClr w14:val="tx1"/>
            </w14:solidFill>
          </w14:textFill>
        </w:rPr>
      </w:pPr>
      <w:r>
        <w:rPr>
          <w:rFonts w:hAnsi="宋体"/>
          <w:color w:val="000000" w:themeColor="text1"/>
          <w14:textFill>
            <w14:solidFill>
              <w14:schemeClr w14:val="tx1"/>
            </w14:solidFill>
          </w14:textFill>
        </w:rPr>
        <w:t>DA/T 93  电子档案移交接收操作规程</w:t>
      </w:r>
    </w:p>
    <w:p w14:paraId="753C2ECB">
      <w:pPr>
        <w:pStyle w:val="108"/>
        <w:spacing w:before="312" w:after="312"/>
        <w:rPr>
          <w:color w:val="000000" w:themeColor="text1"/>
          <w14:textFill>
            <w14:solidFill>
              <w14:schemeClr w14:val="tx1"/>
            </w14:solidFill>
          </w14:textFill>
        </w:rPr>
      </w:pPr>
      <w:bookmarkStart w:id="141" w:name="_Toc132039491"/>
      <w:bookmarkStart w:id="142" w:name="_Toc162013372"/>
      <w:bookmarkStart w:id="143" w:name="_Toc155860912"/>
      <w:bookmarkStart w:id="144" w:name="_Toc161752911"/>
      <w:bookmarkStart w:id="145" w:name="_Toc167894421"/>
      <w:bookmarkStart w:id="146" w:name="_Toc164863324"/>
      <w:bookmarkStart w:id="147" w:name="_Toc132125507"/>
      <w:bookmarkStart w:id="148" w:name="_Toc155793340"/>
      <w:bookmarkStart w:id="149" w:name="_Toc133333629"/>
      <w:bookmarkStart w:id="150" w:name="_Toc162537319"/>
      <w:bookmarkStart w:id="151" w:name="_Toc167894873"/>
      <w:bookmarkStart w:id="152" w:name="_Toc155871073"/>
      <w:bookmarkStart w:id="153" w:name="_Toc162013344"/>
      <w:bookmarkStart w:id="154" w:name="_Toc150435603"/>
      <w:bookmarkStart w:id="155" w:name="_Toc161240697"/>
      <w:bookmarkStart w:id="156" w:name="_Toc138606112"/>
      <w:bookmarkStart w:id="157" w:name="_Toc169012552"/>
      <w:bookmarkStart w:id="158" w:name="_Toc171325651"/>
      <w:bookmarkStart w:id="159" w:name="_Toc171584689"/>
      <w:bookmarkStart w:id="160" w:name="_Toc154393426"/>
      <w:bookmarkStart w:id="161" w:name="_Toc134622482"/>
      <w:bookmarkStart w:id="162" w:name="_Toc134628771"/>
      <w:bookmarkStart w:id="163" w:name="_Toc169514929"/>
      <w:bookmarkStart w:id="164" w:name="_Toc141456967"/>
      <w:bookmarkStart w:id="165" w:name="_Toc97191425"/>
      <w:bookmarkStart w:id="166" w:name="_Toc155866397"/>
      <w:bookmarkStart w:id="167" w:name="_Toc132039447"/>
      <w:bookmarkStart w:id="168" w:name="_Toc167980173"/>
      <w:bookmarkStart w:id="169" w:name="_Toc170398207"/>
      <w:bookmarkStart w:id="170" w:name="_Toc162339007"/>
      <w:bookmarkStart w:id="171" w:name="_Toc141690852"/>
      <w:bookmarkStart w:id="172" w:name="_Toc141454895"/>
      <w:bookmarkStart w:id="173" w:name="_Toc168473766"/>
      <w:bookmarkStart w:id="174" w:name="_Toc170900455"/>
      <w:r>
        <w:rPr>
          <w:rFonts w:hint="eastAsia"/>
          <w:color w:val="000000" w:themeColor="text1"/>
          <w:szCs w:val="21"/>
          <w14:textFill>
            <w14:solidFill>
              <w14:schemeClr w14:val="tx1"/>
            </w14:solidFill>
          </w14:textFill>
        </w:rPr>
        <w:t>术语和定义</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sdt>
      <w:sdtPr>
        <w:rPr>
          <w:rFonts w:hint="eastAsia" w:hAnsi="宋体"/>
          <w:color w:val="000000" w:themeColor="text1"/>
          <w14:textFill>
            <w14:solidFill>
              <w14:schemeClr w14:val="tx1"/>
            </w14:solidFill>
          </w14:textFill>
        </w:rPr>
        <w:id w:val="-1"/>
        <w:placeholder>
          <w:docPart w:val="AA7B731E11A148018EF8CDBE86FCF27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hAnsi="宋体"/>
          <w:color w:val="000000" w:themeColor="text1"/>
          <w14:textFill>
            <w14:solidFill>
              <w14:schemeClr w14:val="tx1"/>
            </w14:solidFill>
          </w14:textFill>
        </w:rPr>
      </w:sdtEndPr>
      <w:sdtContent>
        <w:p w14:paraId="32E7913D">
          <w:pPr>
            <w:pStyle w:val="60"/>
            <w:ind w:firstLine="420"/>
            <w:rPr>
              <w:color w:val="000000" w:themeColor="text1"/>
              <w14:textFill>
                <w14:solidFill>
                  <w14:schemeClr w14:val="tx1"/>
                </w14:solidFill>
              </w14:textFill>
            </w:rPr>
          </w:pPr>
          <w:bookmarkStart w:id="175" w:name="_Toc26986532"/>
          <w:bookmarkEnd w:id="175"/>
          <w:r>
            <w:rPr>
              <w:rFonts w:hint="eastAsia" w:hAnsi="宋体"/>
              <w:color w:val="000000" w:themeColor="text1"/>
              <w14:textFill>
                <w14:solidFill>
                  <w14:schemeClr w14:val="tx1"/>
                </w14:solidFill>
              </w14:textFill>
            </w:rPr>
            <w:t>GB/T 42727—2023和DA/T 92—2</w:t>
          </w:r>
          <w:r>
            <w:rPr>
              <w:rFonts w:hAnsi="宋体"/>
              <w:color w:val="000000" w:themeColor="text1"/>
              <w14:textFill>
                <w14:solidFill>
                  <w14:schemeClr w14:val="tx1"/>
                </w14:solidFill>
              </w14:textFill>
            </w:rPr>
            <w:t>022</w:t>
          </w:r>
          <w:r>
            <w:rPr>
              <w:rFonts w:hint="eastAsia" w:hAnsi="宋体"/>
              <w:color w:val="000000" w:themeColor="text1"/>
              <w14:textFill>
                <w14:solidFill>
                  <w14:schemeClr w14:val="tx1"/>
                </w14:solidFill>
              </w14:textFill>
            </w:rPr>
            <w:t>界定的以及下列术语和定义适用于本文件。</w:t>
          </w:r>
        </w:p>
      </w:sdtContent>
    </w:sdt>
    <w:p w14:paraId="70A3D456">
      <w:pPr>
        <w:pStyle w:val="227"/>
        <w:ind w:left="420" w:hanging="420" w:hangingChars="200"/>
        <w:rPr>
          <w:rFonts w:ascii="黑体" w:hAnsi="黑体" w:eastAsia="黑体"/>
          <w:color w:val="000000" w:themeColor="text1"/>
          <w14:textFill>
            <w14:solidFill>
              <w14:schemeClr w14:val="tx1"/>
            </w14:solidFill>
          </w14:textFill>
        </w:rPr>
      </w:pPr>
    </w:p>
    <w:p w14:paraId="0342EE5A">
      <w:pPr>
        <w:pStyle w:val="227"/>
        <w:numPr>
          <w:ilvl w:val="0"/>
          <w:numId w:val="0"/>
        </w:numPr>
        <w:ind w:left="42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政务服务全程网办</w:t>
      </w:r>
      <w:r>
        <w:rPr>
          <w:rFonts w:hint="eastAsia" w:ascii="黑体" w:hAnsi="黑体" w:eastAsia="黑体"/>
          <w:color w:val="000000" w:themeColor="text1"/>
          <w14:textFill>
            <w14:solidFill>
              <w14:schemeClr w14:val="tx1"/>
            </w14:solidFill>
          </w14:textFill>
        </w:rPr>
        <w:t xml:space="preserve"> </w:t>
      </w:r>
      <w:r>
        <w:rPr>
          <w:rFonts w:ascii="黑体" w:hAnsi="黑体" w:eastAsia="黑体"/>
          <w:color w:val="000000" w:themeColor="text1"/>
          <w14:textFill>
            <w14:solidFill>
              <w14:schemeClr w14:val="tx1"/>
            </w14:solidFill>
          </w14:textFill>
        </w:rPr>
        <w:t xml:space="preserve"> government service whole course online processing</w:t>
      </w:r>
    </w:p>
    <w:p w14:paraId="26CD9C30">
      <w:pPr>
        <w:pStyle w:val="60"/>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依托政府及其职能部门已建的政务服务平台，为受理审批部门提供在线受理、网上审批、网上出件，并完成电子材料单套归档的政务服务全流程在线办理模式。</w:t>
      </w:r>
    </w:p>
    <w:p w14:paraId="2988D873">
      <w:pPr>
        <w:pStyle w:val="227"/>
        <w:ind w:left="420" w:hanging="420" w:hangingChars="20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br w:type="textWrapping"/>
      </w:r>
      <w:r>
        <w:rPr>
          <w:rFonts w:ascii="黑体" w:hAnsi="黑体" w:eastAsia="黑体"/>
          <w:color w:val="000000" w:themeColor="text1"/>
          <w14:textFill>
            <w14:solidFill>
              <w14:schemeClr w14:val="tx1"/>
            </w14:solidFill>
          </w14:textFill>
        </w:rPr>
        <w:t>电子文件单套归档</w:t>
      </w:r>
      <w:r>
        <w:rPr>
          <w:rFonts w:hint="eastAsia" w:ascii="黑体" w:hAnsi="黑体" w:eastAsia="黑体"/>
          <w:color w:val="000000" w:themeColor="text1"/>
          <w14:textFill>
            <w14:solidFill>
              <w14:schemeClr w14:val="tx1"/>
            </w14:solidFill>
          </w14:textFill>
        </w:rPr>
        <w:t xml:space="preserve"> </w:t>
      </w:r>
      <w:r>
        <w:rPr>
          <w:rFonts w:ascii="黑体" w:hAnsi="黑体" w:eastAsia="黑体"/>
          <w:color w:val="000000" w:themeColor="text1"/>
          <w14:textFill>
            <w14:solidFill>
              <w14:schemeClr w14:val="tx1"/>
            </w14:solidFill>
          </w14:textFill>
        </w:rPr>
        <w:t xml:space="preserve"> electronic document </w:t>
      </w:r>
      <w:r>
        <w:rPr>
          <w:rFonts w:hint="eastAsia" w:ascii="黑体" w:hAnsi="黑体" w:eastAsia="黑体"/>
          <w:color w:val="000000" w:themeColor="text1"/>
          <w14:textFill>
            <w14:solidFill>
              <w14:schemeClr w14:val="tx1"/>
            </w14:solidFill>
          </w14:textFill>
        </w:rPr>
        <w:t>single</w:t>
      </w:r>
      <w:r>
        <w:rPr>
          <w:rFonts w:ascii="黑体" w:hAnsi="黑体" w:eastAsia="黑体"/>
          <w:color w:val="000000" w:themeColor="text1"/>
          <w14:textFill>
            <w14:solidFill>
              <w14:schemeClr w14:val="tx1"/>
            </w14:solidFill>
          </w14:textFill>
        </w:rPr>
        <w:t xml:space="preserve"> set filing</w:t>
      </w:r>
    </w:p>
    <w:p w14:paraId="37B052EB">
      <w:pPr>
        <w:pStyle w:val="60"/>
        <w:ind w:firstLine="420"/>
        <w:rPr>
          <w:color w:val="000000" w:themeColor="text1"/>
          <w14:textFill>
            <w14:solidFill>
              <w14:schemeClr w14:val="tx1"/>
            </w14:solidFill>
          </w14:textFill>
        </w:rPr>
      </w:pPr>
      <w:r>
        <w:rPr>
          <w:color w:val="000000" w:themeColor="text1"/>
          <w14:textFill>
            <w14:solidFill>
              <w14:schemeClr w14:val="tx1"/>
            </w14:solidFill>
          </w14:textFill>
        </w:rPr>
        <w:t>仅以电子形式将具有凭证、查考和保存价值且办理完毕、经系统整理的电子文件及元数据管理权限向档案部门提交的过程。</w:t>
      </w:r>
    </w:p>
    <w:p w14:paraId="4514075F">
      <w:pPr>
        <w:pStyle w:val="227"/>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统一身份认证 </w:t>
      </w:r>
      <w:r>
        <w:rPr>
          <w:rFonts w:ascii="黑体" w:hAnsi="黑体" w:eastAsia="黑体"/>
        </w:rPr>
        <w:t xml:space="preserve"> unique identify authentication</w:t>
      </w:r>
    </w:p>
    <w:p w14:paraId="4F83C731">
      <w:pPr>
        <w:pStyle w:val="60"/>
        <w:ind w:firstLine="420"/>
      </w:pPr>
      <w:r>
        <w:t>用户通过使用同一套认证凭证，可访问所有政务服务平台上与该用户身份对应的授权网络应用的过程。</w:t>
      </w:r>
    </w:p>
    <w:p w14:paraId="0CDF7E7A">
      <w:pPr>
        <w:pStyle w:val="60"/>
        <w:ind w:firstLine="420"/>
      </w:pPr>
      <w:r>
        <w:rPr>
          <w:rFonts w:hint="eastAsia"/>
        </w:rPr>
        <w:t>[来源：GB</w:t>
      </w:r>
      <w:r>
        <w:t>/T 39047</w:t>
      </w:r>
      <w:r>
        <w:rPr>
          <w:rFonts w:hAnsi="宋体"/>
        </w:rPr>
        <w:t>—</w:t>
      </w:r>
      <w:r>
        <w:t>2020，</w:t>
      </w:r>
      <w:r>
        <w:rPr>
          <w:rFonts w:hint="eastAsia"/>
        </w:rPr>
        <w:t>3.</w:t>
      </w:r>
      <w:r>
        <w:t>2</w:t>
      </w:r>
      <w:r>
        <w:rPr>
          <w:rFonts w:hint="eastAsia"/>
        </w:rPr>
        <w:t>]</w:t>
      </w:r>
    </w:p>
    <w:p w14:paraId="6EE7A2A6">
      <w:pPr>
        <w:pStyle w:val="108"/>
        <w:spacing w:before="312" w:after="312"/>
        <w:rPr>
          <w:color w:val="000000" w:themeColor="text1"/>
          <w14:textFill>
            <w14:solidFill>
              <w14:schemeClr w14:val="tx1"/>
            </w14:solidFill>
          </w14:textFill>
        </w:rPr>
      </w:pPr>
      <w:bookmarkStart w:id="176" w:name="_Toc133333631"/>
      <w:bookmarkStart w:id="177" w:name="_Toc138606114"/>
      <w:bookmarkStart w:id="178" w:name="_Toc141456969"/>
      <w:bookmarkStart w:id="179" w:name="_Toc150435605"/>
      <w:bookmarkStart w:id="180" w:name="_Toc134628773"/>
      <w:bookmarkStart w:id="181" w:name="_Toc134622484"/>
      <w:bookmarkStart w:id="182" w:name="_Toc141454897"/>
      <w:bookmarkStart w:id="183" w:name="_Toc155866399"/>
      <w:bookmarkStart w:id="184" w:name="_Toc141690854"/>
      <w:bookmarkStart w:id="185" w:name="_Toc155793342"/>
      <w:bookmarkStart w:id="186" w:name="_Toc154393428"/>
      <w:bookmarkStart w:id="187" w:name="_Toc155860914"/>
      <w:bookmarkStart w:id="188" w:name="_Toc162013345"/>
      <w:bookmarkStart w:id="189" w:name="_Toc161240698"/>
      <w:bookmarkStart w:id="190" w:name="_Toc167894874"/>
      <w:bookmarkStart w:id="191" w:name="_Toc171584690"/>
      <w:bookmarkStart w:id="192" w:name="_Toc167894422"/>
      <w:bookmarkStart w:id="193" w:name="_Toc162013373"/>
      <w:bookmarkStart w:id="194" w:name="_Toc162339008"/>
      <w:bookmarkStart w:id="195" w:name="_Toc167980174"/>
      <w:bookmarkStart w:id="196" w:name="_Toc169012553"/>
      <w:bookmarkStart w:id="197" w:name="_Toc169514930"/>
      <w:bookmarkStart w:id="198" w:name="_Toc170900456"/>
      <w:bookmarkStart w:id="199" w:name="_Toc161752912"/>
      <w:bookmarkStart w:id="200" w:name="_Toc170398208"/>
      <w:bookmarkStart w:id="201" w:name="_Toc168473767"/>
      <w:bookmarkStart w:id="202" w:name="_Toc171325652"/>
      <w:bookmarkStart w:id="203" w:name="_Toc162537320"/>
      <w:bookmarkStart w:id="204" w:name="_Toc155871075"/>
      <w:bookmarkStart w:id="205" w:name="_Toc164863325"/>
      <w:r>
        <w:rPr>
          <w:rFonts w:hint="eastAsia"/>
          <w:color w:val="000000" w:themeColor="text1"/>
          <w14:textFill>
            <w14:solidFill>
              <w14:schemeClr w14:val="tx1"/>
            </w14:solidFill>
          </w14:textFill>
        </w:rPr>
        <w:t>总体要求</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53F44F72">
      <w:pPr>
        <w:pStyle w:val="166"/>
        <w:rPr>
          <w:color w:val="000000" w:themeColor="text1"/>
          <w14:textFill>
            <w14:solidFill>
              <w14:schemeClr w14:val="tx1"/>
            </w14:solidFill>
          </w14:textFill>
        </w:rPr>
      </w:pPr>
      <w:r>
        <w:rPr>
          <w:rFonts w:hint="eastAsia"/>
          <w:color w:val="000000" w:themeColor="text1"/>
          <w14:textFill>
            <w14:solidFill>
              <w14:schemeClr w14:val="tx1"/>
            </w14:solidFill>
          </w14:textFill>
        </w:rPr>
        <w:t>政务服务全程网办电子文件单套归档应遵循来源可靠、程序规范、要素合规、安全可靠的原则。涉密电子文件的单套归档应遵守国家保密规定。</w:t>
      </w:r>
    </w:p>
    <w:p w14:paraId="66B2CD1B">
      <w:pPr>
        <w:pStyle w:val="166"/>
        <w:rPr>
          <w:color w:val="000000" w:themeColor="text1"/>
          <w14:textFill>
            <w14:solidFill>
              <w14:schemeClr w14:val="tx1"/>
            </w14:solidFill>
          </w14:textFill>
        </w:rPr>
      </w:pPr>
      <w:r>
        <w:rPr>
          <w:rFonts w:hint="eastAsia"/>
          <w:color w:val="000000" w:themeColor="text1"/>
          <w14:textFill>
            <w14:solidFill>
              <w14:schemeClr w14:val="tx1"/>
            </w14:solidFill>
          </w14:textFill>
        </w:rPr>
        <w:t>政务服务全程网办不产生纸质文件。电子文件的形成、单套归档和电子档案管理均应通过安全可信的系统或电子设备实现。</w:t>
      </w:r>
    </w:p>
    <w:p w14:paraId="513446E7">
      <w:pPr>
        <w:pStyle w:val="166"/>
        <w:rPr>
          <w:color w:val="000000" w:themeColor="text1"/>
          <w14:textFill>
            <w14:solidFill>
              <w14:schemeClr w14:val="tx1"/>
            </w14:solidFill>
          </w14:textFill>
        </w:rPr>
      </w:pPr>
      <w:r>
        <w:rPr>
          <w:rFonts w:hint="eastAsia"/>
          <w:color w:val="000000" w:themeColor="text1"/>
          <w14:textFill>
            <w14:solidFill>
              <w14:schemeClr w14:val="tx1"/>
            </w14:solidFill>
          </w14:textFill>
        </w:rPr>
        <w:t>满足政务服务全程网办电子文件单套归档要求的信息化系统，应符合</w:t>
      </w:r>
      <w:r>
        <w:rPr>
          <w:color w:val="000000" w:themeColor="text1"/>
          <w14:textFill>
            <w14:solidFill>
              <w14:schemeClr w14:val="tx1"/>
            </w14:solidFill>
          </w14:textFill>
        </w:rPr>
        <w:t>DA/T 92</w:t>
      </w:r>
      <w:r>
        <w:rPr>
          <w:rFonts w:hint="eastAsia" w:hAnsi="宋体"/>
          <w:color w:val="000000" w:themeColor="text1"/>
          <w14:textFill>
            <w14:solidFill>
              <w14:schemeClr w14:val="tx1"/>
            </w14:solidFill>
          </w14:textFill>
        </w:rPr>
        <w:t>—</w:t>
      </w:r>
      <w:r>
        <w:rPr>
          <w:color w:val="000000" w:themeColor="text1"/>
          <w14:textFill>
            <w14:solidFill>
              <w14:schemeClr w14:val="tx1"/>
            </w14:solidFill>
          </w14:textFill>
        </w:rPr>
        <w:t>2022</w:t>
      </w:r>
      <w:r>
        <w:rPr>
          <w:rFonts w:hint="eastAsia"/>
          <w:color w:val="000000" w:themeColor="text1"/>
          <w14:textFill>
            <w14:solidFill>
              <w14:schemeClr w14:val="tx1"/>
            </w14:solidFill>
          </w14:textFill>
        </w:rPr>
        <w:t>中第</w:t>
      </w:r>
      <w:r>
        <w:rPr>
          <w:color w:val="000000" w:themeColor="text1"/>
          <w14:textFill>
            <w14:solidFill>
              <w14:schemeClr w14:val="tx1"/>
            </w14:solidFill>
          </w14:textFill>
        </w:rPr>
        <w:t>7</w:t>
      </w:r>
      <w:r>
        <w:rPr>
          <w:rFonts w:hint="eastAsia"/>
          <w:color w:val="000000" w:themeColor="text1"/>
          <w14:textFill>
            <w14:solidFill>
              <w14:schemeClr w14:val="tx1"/>
            </w14:solidFill>
          </w14:textFill>
        </w:rPr>
        <w:t>章的相关要求。</w:t>
      </w:r>
    </w:p>
    <w:p w14:paraId="6A25A363">
      <w:pPr>
        <w:pStyle w:val="166"/>
        <w:rPr>
          <w:color w:val="000000" w:themeColor="text1"/>
          <w14:textFill>
            <w14:solidFill>
              <w14:schemeClr w14:val="tx1"/>
            </w14:solidFill>
          </w14:textFill>
        </w:rPr>
      </w:pPr>
      <w:r>
        <w:rPr>
          <w:color w:val="000000" w:themeColor="text1"/>
          <w14:textFill>
            <w14:solidFill>
              <w14:schemeClr w14:val="tx1"/>
            </w14:solidFill>
          </w14:textFill>
        </w:rPr>
        <w:t>应建立</w:t>
      </w:r>
      <w:r>
        <w:rPr>
          <w:rFonts w:hint="eastAsia"/>
          <w:color w:val="000000" w:themeColor="text1"/>
          <w14:textFill>
            <w14:solidFill>
              <w14:schemeClr w14:val="tx1"/>
            </w14:solidFill>
          </w14:textFill>
        </w:rPr>
        <w:t>政务服务全程</w:t>
      </w:r>
      <w:r>
        <w:rPr>
          <w:color w:val="000000" w:themeColor="text1"/>
          <w14:textFill>
            <w14:solidFill>
              <w14:schemeClr w14:val="tx1"/>
            </w14:solidFill>
          </w14:textFill>
        </w:rPr>
        <w:t>网办电子文件单套归档工作机制，明确职责分工：</w:t>
      </w:r>
    </w:p>
    <w:p w14:paraId="05119C83">
      <w:pPr>
        <w:pStyle w:val="178"/>
        <w:rPr>
          <w:color w:val="000000" w:themeColor="text1"/>
          <w14:textFill>
            <w14:solidFill>
              <w14:schemeClr w14:val="tx1"/>
            </w14:solidFill>
          </w14:textFill>
        </w:rPr>
      </w:pPr>
      <w:r>
        <w:rPr>
          <w:rFonts w:hint="eastAsia"/>
          <w:color w:val="000000" w:themeColor="text1"/>
          <w14:textFill>
            <w14:solidFill>
              <w14:schemeClr w14:val="tx1"/>
            </w14:solidFill>
          </w14:textFill>
        </w:rPr>
        <w:t>各级政务服务主管部门和档案主管部门负责统筹协调政务服务全程网办电子文件单套归档和电子档案管理工作，研究制定相关政策、规章制度、业务规范和数据标准；</w:t>
      </w:r>
    </w:p>
    <w:p w14:paraId="7BA3F081">
      <w:pPr>
        <w:pStyle w:val="178"/>
        <w:rPr>
          <w:color w:val="000000" w:themeColor="text1"/>
          <w14:textFill>
            <w14:solidFill>
              <w14:schemeClr w14:val="tx1"/>
            </w14:solidFill>
          </w14:textFill>
        </w:rPr>
      </w:pPr>
      <w:r>
        <w:rPr>
          <w:rFonts w:hint="eastAsia"/>
          <w:color w:val="000000" w:themeColor="text1"/>
          <w14:textFill>
            <w14:solidFill>
              <w14:schemeClr w14:val="tx1"/>
            </w14:solidFill>
          </w14:textFill>
        </w:rPr>
        <w:t>各级政务服务主管部门依托符合国家相关规定、可互认互通的事项管理、身份认证、电子签名（签章）、电子印章等功能，支撑政务服务全程网办电子文件单套归档全流程管理；</w:t>
      </w:r>
      <w:r>
        <w:rPr>
          <w:color w:val="000000" w:themeColor="text1"/>
          <w14:textFill>
            <w14:solidFill>
              <w14:schemeClr w14:val="tx1"/>
            </w14:solidFill>
          </w14:textFill>
        </w:rPr>
        <w:t xml:space="preserve"> </w:t>
      </w:r>
    </w:p>
    <w:p w14:paraId="42823A92">
      <w:pPr>
        <w:pStyle w:val="178"/>
        <w:rPr>
          <w:color w:val="000000" w:themeColor="text1"/>
          <w14:textFill>
            <w14:solidFill>
              <w14:schemeClr w14:val="tx1"/>
            </w14:solidFill>
          </w14:textFill>
        </w:rPr>
      </w:pPr>
      <w:r>
        <w:rPr>
          <w:rFonts w:hint="eastAsia"/>
          <w:color w:val="000000" w:themeColor="text1"/>
          <w14:textFill>
            <w14:solidFill>
              <w14:schemeClr w14:val="tx1"/>
            </w14:solidFill>
          </w14:textFill>
        </w:rPr>
        <w:t>各级政务服务机构承担本级政务服务电子档案管理的主体责任，制定本单位政务服务全程网办电子文件单套归档工作的各项制度规定和责任分工。统筹优化升级政务服务相关信息化系统，嵌入电子文件单套归档和电子档案单套管理功能，规范政务服务全程网办电子文件的形成、办理、归档和电子档案的保管、利用、移交等工作；</w:t>
      </w:r>
    </w:p>
    <w:p w14:paraId="7D7B216D">
      <w:pPr>
        <w:pStyle w:val="178"/>
        <w:rPr>
          <w:color w:val="000000" w:themeColor="text1"/>
          <w14:textFill>
            <w14:solidFill>
              <w14:schemeClr w14:val="tx1"/>
            </w14:solidFill>
          </w14:textFill>
        </w:rPr>
      </w:pPr>
      <w:r>
        <w:rPr>
          <w:rFonts w:hint="eastAsia"/>
          <w:color w:val="000000" w:themeColor="text1"/>
          <w14:textFill>
            <w14:solidFill>
              <w14:schemeClr w14:val="tx1"/>
            </w14:solidFill>
          </w14:textFill>
        </w:rPr>
        <w:t>各级档案主管部门负责管辖本级政务服务全程网办电子文件单套归档工作的监督检查，对工作机制建设、归档电子文件数据标准等进行针对性指导，审核政务服务全程网办电子文件单套归档范围和档案保管期限；</w:t>
      </w:r>
    </w:p>
    <w:p w14:paraId="53463F5F">
      <w:pPr>
        <w:pStyle w:val="178"/>
      </w:pPr>
      <w:r>
        <w:rPr>
          <w:rFonts w:hint="eastAsia"/>
        </w:rPr>
        <w:t>各级国家综合档案馆应明确政务服务电子档案移交进馆要求，配备满足电子档案长期保存及安全管理需要的信息化基础设施、应用系统，保障政务服务电子档案规范接收、长久保存和共享利用。</w:t>
      </w:r>
    </w:p>
    <w:p w14:paraId="11F4B318">
      <w:pPr>
        <w:pStyle w:val="166"/>
        <w:rPr>
          <w:color w:val="000000" w:themeColor="text1"/>
          <w14:textFill>
            <w14:solidFill>
              <w14:schemeClr w14:val="tx1"/>
            </w14:solidFill>
          </w14:textFill>
        </w:rPr>
      </w:pPr>
      <w:r>
        <w:rPr>
          <w:rFonts w:hint="eastAsia"/>
          <w:color w:val="000000" w:themeColor="text1"/>
          <w14:textFill>
            <w14:solidFill>
              <w14:schemeClr w14:val="tx1"/>
            </w14:solidFill>
          </w14:textFill>
        </w:rPr>
        <w:t>政务服务全程网办电子文件单套归档宜采用在线实时归档方式。不具备在线归档条件的，可采用离线归档方式，归档时间最迟不应超过办理完毕后的第二年</w:t>
      </w:r>
      <w:r>
        <w:rPr>
          <w:color w:val="000000" w:themeColor="text1"/>
          <w14:textFill>
            <w14:solidFill>
              <w14:schemeClr w14:val="tx1"/>
            </w14:solidFill>
          </w14:textFill>
        </w:rPr>
        <w:t>6</w:t>
      </w:r>
      <w:r>
        <w:rPr>
          <w:rFonts w:hint="eastAsia"/>
          <w:color w:val="000000" w:themeColor="text1"/>
          <w14:textFill>
            <w14:solidFill>
              <w14:schemeClr w14:val="tx1"/>
            </w14:solidFill>
          </w14:textFill>
        </w:rPr>
        <w:t>月底。</w:t>
      </w:r>
    </w:p>
    <w:p w14:paraId="0BD090B4">
      <w:pPr>
        <w:pStyle w:val="166"/>
        <w:rPr>
          <w:color w:val="000000" w:themeColor="text1"/>
          <w14:textFill>
            <w14:solidFill>
              <w14:schemeClr w14:val="tx1"/>
            </w14:solidFill>
          </w14:textFill>
        </w:rPr>
      </w:pPr>
      <w:r>
        <w:rPr>
          <w:rFonts w:hint="eastAsia"/>
          <w:color w:val="000000" w:themeColor="text1"/>
          <w14:textFill>
            <w14:solidFill>
              <w14:schemeClr w14:val="tx1"/>
            </w14:solidFill>
          </w14:textFill>
        </w:rPr>
        <w:t>各级政务服务主管部门和档案主管部门可参照</w:t>
      </w:r>
      <w:r>
        <w:rPr>
          <w:color w:val="000000" w:themeColor="text1"/>
          <w14:textFill>
            <w14:solidFill>
              <w14:schemeClr w14:val="tx1"/>
            </w14:solidFill>
          </w14:textFill>
        </w:rPr>
        <w:t>DA/T 92</w:t>
      </w:r>
      <w:r>
        <w:rPr>
          <w:rFonts w:hint="eastAsia" w:hAnsi="宋体"/>
          <w:color w:val="000000" w:themeColor="text1"/>
          <w14:textFill>
            <w14:solidFill>
              <w14:schemeClr w14:val="tx1"/>
            </w14:solidFill>
          </w14:textFill>
        </w:rPr>
        <w:t>—</w:t>
      </w:r>
      <w:r>
        <w:rPr>
          <w:color w:val="000000" w:themeColor="text1"/>
          <w14:textFill>
            <w14:solidFill>
              <w14:schemeClr w14:val="tx1"/>
            </w14:solidFill>
          </w14:textFill>
        </w:rPr>
        <w:t>2022</w:t>
      </w:r>
      <w:r>
        <w:rPr>
          <w:rFonts w:hint="eastAsia"/>
          <w:color w:val="000000" w:themeColor="text1"/>
          <w14:textFill>
            <w14:solidFill>
              <w14:schemeClr w14:val="tx1"/>
            </w14:solidFill>
          </w14:textFill>
        </w:rPr>
        <w:t>中第</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章的要求，联合制定电子档案单套管理可行性评估指标，组织电子档案单套归档可行性评估。通过可行性评估的，可开展电子档案单套管理。</w:t>
      </w:r>
    </w:p>
    <w:p w14:paraId="42D36A9A">
      <w:pPr>
        <w:pStyle w:val="108"/>
        <w:spacing w:before="312" w:after="312"/>
        <w:rPr>
          <w:color w:val="000000" w:themeColor="text1"/>
          <w14:textFill>
            <w14:solidFill>
              <w14:schemeClr w14:val="tx1"/>
            </w14:solidFill>
          </w14:textFill>
        </w:rPr>
      </w:pPr>
      <w:bookmarkStart w:id="206" w:name="_Toc155871079"/>
      <w:bookmarkStart w:id="207" w:name="_Toc154393432"/>
      <w:bookmarkStart w:id="208" w:name="_Toc133333632"/>
      <w:bookmarkStart w:id="209" w:name="_Toc141690858"/>
      <w:bookmarkStart w:id="210" w:name="_Toc162013374"/>
      <w:bookmarkStart w:id="211" w:name="_Toc161240699"/>
      <w:bookmarkStart w:id="212" w:name="_Toc162339009"/>
      <w:bookmarkStart w:id="213" w:name="_Toc134628774"/>
      <w:bookmarkStart w:id="214" w:name="_Toc164863326"/>
      <w:bookmarkStart w:id="215" w:name="_Toc161752913"/>
      <w:bookmarkStart w:id="216" w:name="_Toc162537321"/>
      <w:bookmarkStart w:id="217" w:name="_Toc155866403"/>
      <w:bookmarkStart w:id="218" w:name="_Toc138606119"/>
      <w:bookmarkStart w:id="219" w:name="_Toc132125510"/>
      <w:bookmarkStart w:id="220" w:name="_Toc150435609"/>
      <w:bookmarkStart w:id="221" w:name="_Toc162013346"/>
      <w:bookmarkStart w:id="222" w:name="_Toc132039449"/>
      <w:bookmarkStart w:id="223" w:name="_Toc167980175"/>
      <w:bookmarkStart w:id="224" w:name="_Toc167894423"/>
      <w:bookmarkStart w:id="225" w:name="_Toc141454901"/>
      <w:bookmarkStart w:id="226" w:name="_Toc141456973"/>
      <w:bookmarkStart w:id="227" w:name="_Toc155860918"/>
      <w:bookmarkStart w:id="228" w:name="_Toc155793346"/>
      <w:bookmarkStart w:id="229" w:name="_Toc132039493"/>
      <w:bookmarkStart w:id="230" w:name="_Toc134622485"/>
      <w:bookmarkStart w:id="231" w:name="_Toc170398209"/>
      <w:bookmarkStart w:id="232" w:name="_Toc169012554"/>
      <w:bookmarkStart w:id="233" w:name="_Toc167894875"/>
      <w:bookmarkStart w:id="234" w:name="_Toc171584691"/>
      <w:bookmarkStart w:id="235" w:name="_Toc171325653"/>
      <w:bookmarkStart w:id="236" w:name="_Toc170900457"/>
      <w:bookmarkStart w:id="237" w:name="_Toc168473768"/>
      <w:bookmarkStart w:id="238" w:name="_Toc169514931"/>
      <w:r>
        <w:rPr>
          <w:color w:val="000000" w:themeColor="text1"/>
          <w14:textFill>
            <w14:solidFill>
              <w14:schemeClr w14:val="tx1"/>
            </w14:solidFill>
          </w14:textFill>
        </w:rPr>
        <w:t>归档流程</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61D21A65">
      <w:pPr>
        <w:pStyle w:val="60"/>
        <w:ind w:firstLine="420"/>
        <w:rPr>
          <w:color w:val="000000" w:themeColor="text1"/>
          <w14:textFill>
            <w14:solidFill>
              <w14:schemeClr w14:val="tx1"/>
            </w14:solidFill>
          </w14:textFill>
        </w:rPr>
      </w:pPr>
      <w:r>
        <w:rPr>
          <w:color w:val="000000" w:themeColor="text1"/>
          <w14:textFill>
            <w14:solidFill>
              <w14:schemeClr w14:val="tx1"/>
            </w14:solidFill>
          </w14:textFill>
        </w:rPr>
        <w:t>政务服务全程网办电子文件单套归档流程（见图</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）分为以下三个阶段：</w:t>
      </w:r>
    </w:p>
    <w:p w14:paraId="7DC55A31">
      <w:pPr>
        <w:pStyle w:val="178"/>
        <w:numPr>
          <w:ilvl w:val="0"/>
          <w:numId w:val="32"/>
        </w:numPr>
      </w:pPr>
      <w:r>
        <w:rPr>
          <w:rFonts w:hint="eastAsia"/>
        </w:rPr>
        <w:t>事项配置阶段：各级政务服务机构在本级档案主管部门的指导下，制定</w:t>
      </w:r>
      <w:r>
        <w:rPr>
          <w:rFonts w:hint="eastAsia"/>
          <w:color w:val="000000" w:themeColor="text1"/>
          <w14:textFill>
            <w14:solidFill>
              <w14:schemeClr w14:val="tx1"/>
            </w14:solidFill>
          </w14:textFill>
        </w:rPr>
        <w:t>《政务服务全程网办电子文件单套归档范围和档案保管期限表》（样式见附录A），</w:t>
      </w:r>
      <w:r>
        <w:rPr>
          <w:rFonts w:hint="eastAsia" w:hAnsi="宋体"/>
        </w:rPr>
        <w:t>在源头配置政务服务全程</w:t>
      </w:r>
      <w:r>
        <w:rPr>
          <w:rFonts w:hAnsi="宋体"/>
        </w:rPr>
        <w:t>网办</w:t>
      </w:r>
      <w:r>
        <w:rPr>
          <w:rFonts w:hint="eastAsia" w:hAnsi="宋体"/>
        </w:rPr>
        <w:t>事项申请</w:t>
      </w:r>
      <w:r>
        <w:rPr>
          <w:rFonts w:hAnsi="宋体"/>
        </w:rPr>
        <w:t>材料、审批</w:t>
      </w:r>
      <w:r>
        <w:rPr>
          <w:rFonts w:hint="eastAsia" w:hAnsi="宋体"/>
        </w:rPr>
        <w:t>过程材料</w:t>
      </w:r>
      <w:r>
        <w:rPr>
          <w:rFonts w:hAnsi="宋体"/>
        </w:rPr>
        <w:t>、审核</w:t>
      </w:r>
      <w:r>
        <w:rPr>
          <w:rFonts w:hint="eastAsia" w:hAnsi="宋体"/>
        </w:rPr>
        <w:t>结果材料并依据</w:t>
      </w:r>
      <w:r>
        <w:rPr>
          <w:rFonts w:hint="eastAsia"/>
          <w:color w:val="000000" w:themeColor="text1"/>
          <w14:textFill>
            <w14:solidFill>
              <w14:schemeClr w14:val="tx1"/>
            </w14:solidFill>
          </w14:textFill>
        </w:rPr>
        <w:t>《政务服务全程网办电子文件单套归档范围和档案保管期限表》，</w:t>
      </w:r>
      <w:r>
        <w:rPr>
          <w:rFonts w:hint="eastAsia" w:hAnsi="宋体"/>
        </w:rPr>
        <w:t>设置需归档</w:t>
      </w:r>
      <w:r>
        <w:rPr>
          <w:rFonts w:hAnsi="宋体"/>
        </w:rPr>
        <w:t>材料</w:t>
      </w:r>
      <w:r>
        <w:rPr>
          <w:rFonts w:hint="eastAsia" w:hAnsi="宋体"/>
        </w:rPr>
        <w:t>的保管期限</w:t>
      </w:r>
      <w:r>
        <w:rPr>
          <w:rFonts w:hAnsi="宋体"/>
        </w:rPr>
        <w:t>、利用权限</w:t>
      </w:r>
      <w:r>
        <w:rPr>
          <w:rFonts w:hint="eastAsia" w:hAnsi="宋体"/>
        </w:rPr>
        <w:t>、流转路径等；</w:t>
      </w:r>
    </w:p>
    <w:p w14:paraId="013A1E9C">
      <w:pPr>
        <w:pStyle w:val="178"/>
        <w:numPr>
          <w:ilvl w:val="0"/>
          <w:numId w:val="32"/>
        </w:numPr>
      </w:pPr>
      <w:r>
        <w:t>预归档阶段：政务服务机构业务部门（以下简称</w:t>
      </w:r>
      <w:r>
        <w:rPr>
          <w:rFonts w:hAnsi="宋体"/>
        </w:rPr>
        <w:t>“业务部门”</w:t>
      </w:r>
      <w:r>
        <w:t>）对政务服务全程网办事项办理过程中拟归档的电子文件组件及元数据进行收集、整理和清点，形成完整的归档信息包，经检测合格后提交归档；</w:t>
      </w:r>
    </w:p>
    <w:p w14:paraId="507D4654">
      <w:pPr>
        <w:pStyle w:val="178"/>
        <w:numPr>
          <w:ilvl w:val="0"/>
          <w:numId w:val="32"/>
        </w:numPr>
      </w:pPr>
      <w:r>
        <w:t>正式归档阶段：政务服务机构档案部门（</w:t>
      </w:r>
      <w:r>
        <w:rPr>
          <w:rFonts w:hAnsi="宋体"/>
        </w:rPr>
        <w:t>以下简称“档案部门”</w:t>
      </w:r>
      <w:r>
        <w:t>）对接收到的归档信息包进行接收检测、登记编目，形成政务服务电子档案，并开展电子档案单套管理。</w:t>
      </w:r>
    </w:p>
    <w:p w14:paraId="5E2E5D28">
      <w:pPr>
        <w:pStyle w:val="60"/>
        <w:ind w:firstLine="0" w:firstLineChars="0"/>
        <w:jc w:val="center"/>
        <w:rPr>
          <w:color w:val="000000" w:themeColor="text1"/>
          <w14:textFill>
            <w14:solidFill>
              <w14:schemeClr w14:val="tx1"/>
            </w14:solidFill>
          </w14:textFill>
        </w:rPr>
      </w:pPr>
      <w:r>
        <w:object>
          <v:shape id="_x0000_i1025" o:spt="75" type="#_x0000_t75" style="height:503.25pt;width:460.5pt;" o:ole="t" filled="f" o:preferrelative="t" stroked="f" coordsize="21600,21600">
            <v:path/>
            <v:fill on="f" focussize="0,0"/>
            <v:stroke on="f" joinstyle="miter"/>
            <v:imagedata r:id="rId34" o:title=""/>
            <o:lock v:ext="edit" aspectratio="t"/>
            <w10:wrap type="none"/>
            <w10:anchorlock/>
          </v:shape>
          <o:OLEObject Type="Embed" ProgID="Visio.Drawing.11" ShapeID="_x0000_i1025" DrawAspect="Content" ObjectID="_1468075725" r:id="rId33">
            <o:LockedField>false</o:LockedField>
          </o:OLEObject>
        </w:object>
      </w:r>
    </w:p>
    <w:p w14:paraId="041F0B44">
      <w:pPr>
        <w:pStyle w:val="118"/>
        <w:spacing w:before="156" w:after="156"/>
        <w:rPr>
          <w:color w:val="000000" w:themeColor="text1"/>
          <w14:textFill>
            <w14:solidFill>
              <w14:schemeClr w14:val="tx1"/>
            </w14:solidFill>
          </w14:textFill>
        </w:rPr>
      </w:pPr>
      <w:r>
        <w:rPr>
          <w:rFonts w:hint="eastAsia"/>
          <w:color w:val="000000" w:themeColor="text1"/>
          <w14:textFill>
            <w14:solidFill>
              <w14:schemeClr w14:val="tx1"/>
            </w14:solidFill>
          </w14:textFill>
        </w:rPr>
        <w:t>政务服务全程网办电子文件单套归档流程</w:t>
      </w:r>
    </w:p>
    <w:p w14:paraId="17C56322">
      <w:pPr>
        <w:pStyle w:val="108"/>
        <w:spacing w:before="312" w:after="312"/>
      </w:pPr>
      <w:bookmarkStart w:id="239" w:name="_Toc171325654"/>
      <w:bookmarkStart w:id="240" w:name="_Toc170398210"/>
      <w:bookmarkStart w:id="241" w:name="_Toc171584692"/>
      <w:bookmarkStart w:id="242" w:name="_Toc170900458"/>
      <w:r>
        <w:rPr>
          <w:rFonts w:hint="eastAsia"/>
        </w:rPr>
        <w:t>归档要求</w:t>
      </w:r>
      <w:bookmarkEnd w:id="239"/>
      <w:bookmarkEnd w:id="240"/>
      <w:bookmarkEnd w:id="241"/>
      <w:bookmarkEnd w:id="242"/>
    </w:p>
    <w:p w14:paraId="3761ACB1">
      <w:pPr>
        <w:pStyle w:val="109"/>
        <w:spacing w:before="156" w:after="156"/>
      </w:pPr>
      <w:bookmarkStart w:id="243" w:name="_Toc171325655"/>
      <w:bookmarkStart w:id="244" w:name="_Toc171584693"/>
      <w:bookmarkStart w:id="245" w:name="_Toc170398211"/>
      <w:bookmarkStart w:id="246" w:name="_Toc170900459"/>
      <w:r>
        <w:rPr>
          <w:rFonts w:hint="eastAsia"/>
        </w:rPr>
        <w:t>事项配置阶段</w:t>
      </w:r>
      <w:bookmarkEnd w:id="243"/>
      <w:bookmarkEnd w:id="244"/>
      <w:bookmarkEnd w:id="245"/>
      <w:bookmarkEnd w:id="246"/>
    </w:p>
    <w:p w14:paraId="7D246953">
      <w:pPr>
        <w:pStyle w:val="169"/>
      </w:pPr>
      <w:r>
        <w:rPr>
          <w:rFonts w:hint="eastAsia"/>
        </w:rPr>
        <w:t>政务服务机构应梳理能实现全程网办的政务服务事项，编制政务服务全程网办事项清单。</w:t>
      </w:r>
    </w:p>
    <w:p w14:paraId="037B83FE">
      <w:pPr>
        <w:pStyle w:val="169"/>
        <w:rPr>
          <w:color w:val="000000" w:themeColor="text1"/>
          <w14:textFill>
            <w14:solidFill>
              <w14:schemeClr w14:val="tx1"/>
            </w14:solidFill>
          </w14:textFill>
        </w:rPr>
      </w:pPr>
      <w:r>
        <w:rPr>
          <w:rFonts w:hint="eastAsia"/>
          <w:color w:val="000000" w:themeColor="text1"/>
          <w14:textFill>
            <w14:solidFill>
              <w14:schemeClr w14:val="tx1"/>
            </w14:solidFill>
          </w14:textFill>
        </w:rPr>
        <w:t>在同级档案主管部门的指导下，应根据事项清单，筛查出</w:t>
      </w:r>
      <w:r>
        <w:rPr>
          <w:rFonts w:hint="eastAsia"/>
        </w:rPr>
        <w:t>全程网办的政务服务过程中</w:t>
      </w:r>
      <w:r>
        <w:rPr>
          <w:rFonts w:hint="eastAsia"/>
          <w:color w:val="000000" w:themeColor="text1"/>
          <w14:textFill>
            <w14:solidFill>
              <w14:schemeClr w14:val="tx1"/>
            </w14:solidFill>
          </w14:textFill>
        </w:rPr>
        <w:t>有归档价值的电子文件，纳入归档范围，确定保管期限，制定《政务服务全程网办电子文件单套归档范围和档案保管期限表》并提交同级档案主管部门审核和备案。</w:t>
      </w:r>
    </w:p>
    <w:p w14:paraId="4480A63F">
      <w:pPr>
        <w:pStyle w:val="169"/>
        <w:rPr>
          <w:color w:val="000000" w:themeColor="text1"/>
          <w14:textFill>
            <w14:solidFill>
              <w14:schemeClr w14:val="tx1"/>
            </w14:solidFill>
          </w14:textFill>
        </w:rPr>
      </w:pPr>
      <w:r>
        <w:rPr>
          <w:rFonts w:hint="eastAsia"/>
          <w:color w:val="000000" w:themeColor="text1"/>
          <w14:textFill>
            <w14:solidFill>
              <w14:schemeClr w14:val="tx1"/>
            </w14:solidFill>
          </w14:textFill>
        </w:rPr>
        <w:t>应根据事项清单和《政务服务全程网办电子文件单套归档范围和档案保管期限表》，在事项办理源头配置政务服务全程网办事项的办理材料及样表等，设置归档范围、归档材料目录、保管期限、档案利用权限等，设置归档材料的流转路径，并同步至业务办理系统和电子档案管理系统。</w:t>
      </w:r>
    </w:p>
    <w:p w14:paraId="22F5A428">
      <w:pPr>
        <w:pStyle w:val="109"/>
        <w:spacing w:before="156" w:after="156"/>
      </w:pPr>
      <w:bookmarkStart w:id="247" w:name="_Toc170398212"/>
      <w:bookmarkStart w:id="248" w:name="_Toc171325656"/>
      <w:bookmarkStart w:id="249" w:name="_Toc171584694"/>
      <w:bookmarkStart w:id="250" w:name="_Toc170900460"/>
      <w:r>
        <w:t>预归档阶段</w:t>
      </w:r>
      <w:bookmarkEnd w:id="247"/>
      <w:bookmarkEnd w:id="248"/>
      <w:bookmarkEnd w:id="249"/>
      <w:bookmarkEnd w:id="250"/>
    </w:p>
    <w:p w14:paraId="0DA41FA6">
      <w:pPr>
        <w:pStyle w:val="69"/>
        <w:spacing w:before="156" w:after="156"/>
        <w:rPr>
          <w:color w:val="000000" w:themeColor="text1"/>
          <w14:textFill>
            <w14:solidFill>
              <w14:schemeClr w14:val="tx1"/>
            </w14:solidFill>
          </w14:textFill>
        </w:rPr>
      </w:pPr>
      <w:r>
        <w:rPr>
          <w:color w:val="000000" w:themeColor="text1"/>
          <w14:textFill>
            <w14:solidFill>
              <w14:schemeClr w14:val="tx1"/>
            </w14:solidFill>
          </w14:textFill>
        </w:rPr>
        <w:t>事项办理</w:t>
      </w:r>
    </w:p>
    <w:p w14:paraId="041097F5">
      <w:pPr>
        <w:pStyle w:val="60"/>
        <w:ind w:firstLine="420"/>
        <w:rPr>
          <w:color w:val="000000" w:themeColor="text1"/>
          <w14:textFill>
            <w14:solidFill>
              <w14:schemeClr w14:val="tx1"/>
            </w14:solidFill>
          </w14:textFill>
        </w:rPr>
      </w:pPr>
      <w:r>
        <w:rPr>
          <w:color w:val="000000" w:themeColor="text1"/>
          <w14:textFill>
            <w14:solidFill>
              <w14:schemeClr w14:val="tx1"/>
            </w14:solidFill>
          </w14:textFill>
        </w:rPr>
        <w:t>在申报端，依托上级或本级的一体化政务服务平台</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条线业务系统等网上服务入口，使用</w:t>
      </w:r>
      <w:r>
        <w:rPr>
          <w:rFonts w:hint="eastAsia"/>
          <w:color w:val="000000" w:themeColor="text1"/>
          <w14:textFill>
            <w14:solidFill>
              <w14:schemeClr w14:val="tx1"/>
            </w14:solidFill>
          </w14:textFill>
        </w:rPr>
        <w:t>统一</w:t>
      </w:r>
      <w:r>
        <w:rPr>
          <w:color w:val="000000" w:themeColor="text1"/>
          <w14:textFill>
            <w14:solidFill>
              <w14:schemeClr w14:val="tx1"/>
            </w14:solidFill>
          </w14:textFill>
        </w:rPr>
        <w:t>身份认证、</w:t>
      </w:r>
      <w:r>
        <w:rPr>
          <w:rFonts w:hint="eastAsia"/>
          <w:color w:val="000000" w:themeColor="text1"/>
          <w14:textFill>
            <w14:solidFill>
              <w14:schemeClr w14:val="tx1"/>
            </w14:solidFill>
          </w14:textFill>
        </w:rPr>
        <w:t>电子签名（签章）、</w:t>
      </w:r>
      <w:r>
        <w:rPr>
          <w:color w:val="000000" w:themeColor="text1"/>
          <w14:textFill>
            <w14:solidFill>
              <w14:schemeClr w14:val="tx1"/>
            </w14:solidFill>
          </w14:textFill>
        </w:rPr>
        <w:t>材料上传</w:t>
      </w:r>
      <w:r>
        <w:rPr>
          <w:rFonts w:hint="eastAsia"/>
          <w:color w:val="000000" w:themeColor="text1"/>
          <w14:textFill>
            <w14:solidFill>
              <w14:schemeClr w14:val="tx1"/>
            </w14:solidFill>
          </w14:textFill>
        </w:rPr>
        <w:t>和电子</w:t>
      </w:r>
      <w:r>
        <w:rPr>
          <w:color w:val="000000" w:themeColor="text1"/>
          <w14:textFill>
            <w14:solidFill>
              <w14:schemeClr w14:val="tx1"/>
            </w14:solidFill>
          </w14:textFill>
        </w:rPr>
        <w:t>证照</w:t>
      </w:r>
      <w:r>
        <w:rPr>
          <w:rFonts w:hint="eastAsia"/>
          <w:color w:val="000000" w:themeColor="text1"/>
          <w14:textFill>
            <w14:solidFill>
              <w14:schemeClr w14:val="tx1"/>
            </w14:solidFill>
          </w14:textFill>
        </w:rPr>
        <w:t>调用</w:t>
      </w:r>
      <w:r>
        <w:rPr>
          <w:color w:val="000000" w:themeColor="text1"/>
          <w14:textFill>
            <w14:solidFill>
              <w14:schemeClr w14:val="tx1"/>
            </w14:solidFill>
          </w14:textFill>
        </w:rPr>
        <w:t>等功能</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在审批端，使用</w:t>
      </w:r>
      <w:r>
        <w:rPr>
          <w:rFonts w:hint="eastAsia"/>
          <w:color w:val="000000" w:themeColor="text1"/>
          <w14:textFill>
            <w14:solidFill>
              <w14:schemeClr w14:val="tx1"/>
            </w14:solidFill>
          </w14:textFill>
        </w:rPr>
        <w:t>统一</w:t>
      </w:r>
      <w:r>
        <w:rPr>
          <w:color w:val="000000" w:themeColor="text1"/>
          <w14:textFill>
            <w14:solidFill>
              <w14:schemeClr w14:val="tx1"/>
            </w14:solidFill>
          </w14:textFill>
        </w:rPr>
        <w:t>身份认证、材料核验、电子文件流转、电子印章应用等</w:t>
      </w:r>
      <w:r>
        <w:rPr>
          <w:rFonts w:hint="eastAsia"/>
          <w:color w:val="000000" w:themeColor="text1"/>
          <w14:textFill>
            <w14:solidFill>
              <w14:schemeClr w14:val="tx1"/>
            </w14:solidFill>
          </w14:textFill>
        </w:rPr>
        <w:t>功能</w:t>
      </w:r>
      <w:r>
        <w:rPr>
          <w:color w:val="000000" w:themeColor="text1"/>
          <w14:textFill>
            <w14:solidFill>
              <w14:schemeClr w14:val="tx1"/>
            </w14:solidFill>
          </w14:textFill>
        </w:rPr>
        <w:t>，保证政务服务事项全流程在线</w:t>
      </w:r>
      <w:r>
        <w:rPr>
          <w:rFonts w:hint="eastAsia"/>
          <w:color w:val="000000" w:themeColor="text1"/>
          <w14:textFill>
            <w14:solidFill>
              <w14:schemeClr w14:val="tx1"/>
            </w14:solidFill>
          </w14:textFill>
        </w:rPr>
        <w:t>受理审批</w:t>
      </w:r>
      <w:r>
        <w:rPr>
          <w:color w:val="000000" w:themeColor="text1"/>
          <w14:textFill>
            <w14:solidFill>
              <w14:schemeClr w14:val="tx1"/>
            </w14:solidFill>
          </w14:textFill>
        </w:rPr>
        <w:t>。</w:t>
      </w:r>
    </w:p>
    <w:p w14:paraId="1E44A64E">
      <w:pPr>
        <w:pStyle w:val="69"/>
        <w:spacing w:before="156" w:after="156"/>
        <w:rPr>
          <w:color w:val="000000" w:themeColor="text1"/>
          <w14:textFill>
            <w14:solidFill>
              <w14:schemeClr w14:val="tx1"/>
            </w14:solidFill>
          </w14:textFill>
        </w:rPr>
      </w:pPr>
      <w:r>
        <w:rPr>
          <w:rFonts w:hint="eastAsia"/>
          <w:color w:val="000000" w:themeColor="text1"/>
          <w14:textFill>
            <w14:solidFill>
              <w14:schemeClr w14:val="tx1"/>
            </w14:solidFill>
          </w14:textFill>
        </w:rPr>
        <w:t>文件收集</w:t>
      </w:r>
    </w:p>
    <w:p w14:paraId="4FE39F99">
      <w:pPr>
        <w:pStyle w:val="168"/>
      </w:pPr>
      <w:r>
        <w:rPr>
          <w:rFonts w:hint="eastAsia"/>
        </w:rPr>
        <w:t>事项办结后</w:t>
      </w:r>
      <w:r>
        <w:t>，应根据</w:t>
      </w:r>
      <w:r>
        <w:rPr>
          <w:rFonts w:hint="eastAsia"/>
        </w:rPr>
        <w:t>提前</w:t>
      </w:r>
      <w:r>
        <w:t>配置的归档范围，实时自动采集相关的政务服务全程网办电子文件组件及元数据，并符合以下规定：</w:t>
      </w:r>
    </w:p>
    <w:p w14:paraId="131DDEF1">
      <w:pPr>
        <w:pStyle w:val="178"/>
        <w:numPr>
          <w:ilvl w:val="0"/>
          <w:numId w:val="33"/>
        </w:numPr>
        <w:rPr>
          <w:color w:val="000000" w:themeColor="text1"/>
          <w14:textFill>
            <w14:solidFill>
              <w14:schemeClr w14:val="tx1"/>
            </w14:solidFill>
          </w14:textFill>
        </w:rPr>
      </w:pPr>
      <w:r>
        <w:rPr>
          <w:rFonts w:hint="eastAsia"/>
          <w:color w:val="000000" w:themeColor="text1"/>
          <w14:textFill>
            <w14:solidFill>
              <w14:schemeClr w14:val="tx1"/>
            </w14:solidFill>
          </w14:textFill>
        </w:rPr>
        <w:t>采集的元数据应完整、合规、可读，符合</w:t>
      </w:r>
      <w:r>
        <w:rPr>
          <w:rFonts w:hAnsi="宋体"/>
          <w:color w:val="000000" w:themeColor="text1"/>
          <w14:textFill>
            <w14:solidFill>
              <w14:schemeClr w14:val="tx1"/>
            </w14:solidFill>
          </w14:textFill>
        </w:rPr>
        <w:t>GB/T 42727—2023</w:t>
      </w:r>
      <w:r>
        <w:rPr>
          <w:color w:val="000000" w:themeColor="text1"/>
          <w14:textFill>
            <w14:solidFill>
              <w14:schemeClr w14:val="tx1"/>
            </w14:solidFill>
          </w14:textFill>
        </w:rPr>
        <w:t>中第8</w:t>
      </w:r>
      <w:r>
        <w:rPr>
          <w:rFonts w:hint="eastAsia"/>
          <w:color w:val="000000" w:themeColor="text1"/>
          <w14:textFill>
            <w14:solidFill>
              <w14:schemeClr w14:val="tx1"/>
            </w14:solidFill>
          </w14:textFill>
        </w:rPr>
        <w:t>章的规定；</w:t>
      </w:r>
    </w:p>
    <w:p w14:paraId="12A07D2B">
      <w:pPr>
        <w:pStyle w:val="178"/>
        <w:numPr>
          <w:ilvl w:val="0"/>
          <w:numId w:val="33"/>
        </w:numPr>
        <w:rPr>
          <w:color w:val="000000" w:themeColor="text1"/>
          <w14:textFill>
            <w14:solidFill>
              <w14:schemeClr w14:val="tx1"/>
            </w14:solidFill>
          </w14:textFill>
        </w:rPr>
      </w:pPr>
      <w:r>
        <w:rPr>
          <w:rFonts w:hint="eastAsia"/>
          <w:color w:val="000000" w:themeColor="text1"/>
          <w14:textFill>
            <w14:solidFill>
              <w14:schemeClr w14:val="tx1"/>
            </w14:solidFill>
          </w14:textFill>
        </w:rPr>
        <w:t>以数据共享形式从外部调用的电子证照及其元数据应一并采集；</w:t>
      </w:r>
    </w:p>
    <w:p w14:paraId="5BB3C65B">
      <w:pPr>
        <w:pStyle w:val="178"/>
        <w:numPr>
          <w:ilvl w:val="0"/>
          <w:numId w:val="33"/>
        </w:numPr>
        <w:rPr>
          <w:color w:val="000000" w:themeColor="text1"/>
          <w14:textFill>
            <w14:solidFill>
              <w14:schemeClr w14:val="tx1"/>
            </w14:solidFill>
          </w14:textFill>
        </w:rPr>
      </w:pPr>
      <w:r>
        <w:rPr>
          <w:color w:val="000000" w:themeColor="text1"/>
          <w14:textFill>
            <w14:solidFill>
              <w14:schemeClr w14:val="tx1"/>
            </w14:solidFill>
          </w14:textFill>
        </w:rPr>
        <w:t>采集的电子文件组件存储格式应符合</w:t>
      </w:r>
      <w:r>
        <w:rPr>
          <w:rFonts w:hAnsi="宋体"/>
          <w:color w:val="000000" w:themeColor="text1"/>
          <w14:textFill>
            <w14:solidFill>
              <w14:schemeClr w14:val="tx1"/>
            </w14:solidFill>
          </w14:textFill>
        </w:rPr>
        <w:t>GB/T 42727—2023</w:t>
      </w:r>
      <w:r>
        <w:rPr>
          <w:color w:val="000000" w:themeColor="text1"/>
          <w14:textFill>
            <w14:solidFill>
              <w14:schemeClr w14:val="tx1"/>
            </w14:solidFill>
          </w14:textFill>
        </w:rPr>
        <w:t>中第</w:t>
      </w:r>
      <w:r>
        <w:rPr>
          <w:rFonts w:hint="eastAsia"/>
          <w:color w:val="000000" w:themeColor="text1"/>
          <w14:textFill>
            <w14:solidFill>
              <w14:schemeClr w14:val="tx1"/>
            </w14:solidFill>
          </w14:textFill>
        </w:rPr>
        <w:t>9章的规定。</w:t>
      </w:r>
    </w:p>
    <w:p w14:paraId="38470335">
      <w:pPr>
        <w:pStyle w:val="168"/>
        <w:rPr>
          <w:color w:val="000000" w:themeColor="text1"/>
          <w14:textFill>
            <w14:solidFill>
              <w14:schemeClr w14:val="tx1"/>
            </w14:solidFill>
          </w14:textFill>
        </w:rPr>
      </w:pPr>
      <w:r>
        <w:rPr>
          <w:rFonts w:hint="eastAsia"/>
          <w:color w:val="000000" w:themeColor="text1"/>
          <w14:textFill>
            <w14:solidFill>
              <w14:schemeClr w14:val="tx1"/>
            </w14:solidFill>
          </w14:textFill>
        </w:rPr>
        <w:t>应保证电子文件内容数据与元数据关联。</w:t>
      </w:r>
    </w:p>
    <w:p w14:paraId="21804227">
      <w:pPr>
        <w:pStyle w:val="168"/>
        <w:rPr>
          <w:color w:val="000000" w:themeColor="text1"/>
          <w14:textFill>
            <w14:solidFill>
              <w14:schemeClr w14:val="tx1"/>
            </w14:solidFill>
          </w14:textFill>
        </w:rPr>
      </w:pPr>
      <w:r>
        <w:rPr>
          <w:rFonts w:hint="eastAsia"/>
          <w:color w:val="000000" w:themeColor="text1"/>
          <w14:textFill>
            <w14:solidFill>
              <w14:schemeClr w14:val="tx1"/>
            </w14:solidFill>
          </w14:textFill>
        </w:rPr>
        <w:t>应对不符合归档格式要求的电子文件进行格式转换。</w:t>
      </w:r>
    </w:p>
    <w:p w14:paraId="798BD52B">
      <w:pPr>
        <w:pStyle w:val="168"/>
        <w:rPr>
          <w:color w:val="000000" w:themeColor="text1"/>
          <w14:textFill>
            <w14:solidFill>
              <w14:schemeClr w14:val="tx1"/>
            </w14:solidFill>
          </w14:textFill>
        </w:rPr>
      </w:pPr>
      <w:r>
        <w:rPr>
          <w:rFonts w:hint="eastAsia"/>
          <w:color w:val="000000" w:themeColor="text1"/>
          <w14:textFill>
            <w14:solidFill>
              <w14:schemeClr w14:val="tx1"/>
            </w14:solidFill>
          </w14:textFill>
        </w:rPr>
        <w:t>应保证电子文件在不同操作系统平台间迁移与共享，且逻辑格式和内容信息保持一致。</w:t>
      </w:r>
    </w:p>
    <w:p w14:paraId="4D3547CA">
      <w:pPr>
        <w:pStyle w:val="69"/>
        <w:spacing w:before="156" w:after="156"/>
        <w:rPr>
          <w:color w:val="000000" w:themeColor="text1"/>
          <w14:textFill>
            <w14:solidFill>
              <w14:schemeClr w14:val="tx1"/>
            </w14:solidFill>
          </w14:textFill>
        </w:rPr>
      </w:pPr>
      <w:r>
        <w:rPr>
          <w:color w:val="000000" w:themeColor="text1"/>
          <w14:textFill>
            <w14:solidFill>
              <w14:schemeClr w14:val="tx1"/>
            </w14:solidFill>
          </w14:textFill>
        </w:rPr>
        <w:t>整理</w:t>
      </w:r>
    </w:p>
    <w:p w14:paraId="518B07AF">
      <w:pPr>
        <w:pStyle w:val="168"/>
        <w:rPr>
          <w:color w:val="000000" w:themeColor="text1"/>
          <w14:textFill>
            <w14:solidFill>
              <w14:schemeClr w14:val="tx1"/>
            </w14:solidFill>
          </w14:textFill>
        </w:rPr>
      </w:pPr>
      <w:r>
        <w:rPr>
          <w:rFonts w:hint="eastAsia"/>
        </w:rPr>
        <w:t>应以件为单位将收集的政务服务全程网办电子文件组件及其元数据按</w:t>
      </w:r>
      <w:r>
        <w:rPr>
          <w:rFonts w:hAnsi="宋体"/>
        </w:rPr>
        <w:t>GB/T 42727—2023</w:t>
      </w:r>
      <w:r>
        <w:t>中第7</w:t>
      </w:r>
      <w:r>
        <w:rPr>
          <w:rFonts w:hint="eastAsia"/>
        </w:rPr>
        <w:t>章的规定</w:t>
      </w:r>
      <w:r>
        <w:t>进行整理，以文件夹的形式进行规范组织和存储，形成</w:t>
      </w:r>
      <w:r>
        <w:rPr>
          <w:rFonts w:hint="eastAsia"/>
        </w:rPr>
        <w:t>归档文件夹</w:t>
      </w:r>
      <w:r>
        <w:t>，并按预先设置的命名</w:t>
      </w:r>
      <w:r>
        <w:rPr>
          <w:rFonts w:hint="eastAsia"/>
          <w:color w:val="000000" w:themeColor="text1"/>
          <w14:textFill>
            <w14:solidFill>
              <w14:schemeClr w14:val="tx1"/>
            </w14:solidFill>
          </w14:textFill>
        </w:rPr>
        <w:t>规则生成电子文件号对归档文件夹进行命名。</w:t>
      </w:r>
    </w:p>
    <w:p w14:paraId="2E524333">
      <w:pPr>
        <w:pStyle w:val="168"/>
        <w:rPr>
          <w:color w:val="000000" w:themeColor="text1"/>
          <w14:textFill>
            <w14:solidFill>
              <w14:schemeClr w14:val="tx1"/>
            </w14:solidFill>
          </w14:textFill>
        </w:rPr>
      </w:pPr>
      <w:r>
        <w:rPr>
          <w:rFonts w:hint="eastAsia"/>
          <w:color w:val="000000" w:themeColor="text1"/>
          <w14:textFill>
            <w14:solidFill>
              <w14:schemeClr w14:val="tx1"/>
            </w14:solidFill>
          </w14:textFill>
        </w:rPr>
        <w:t>应实现归档电子文件的归类、排序、命名、编号、编目、著录等。</w:t>
      </w:r>
    </w:p>
    <w:p w14:paraId="050BDCD8">
      <w:pPr>
        <w:pStyle w:val="69"/>
        <w:spacing w:before="156" w:after="156"/>
        <w:rPr>
          <w:color w:val="000000" w:themeColor="text1"/>
          <w14:textFill>
            <w14:solidFill>
              <w14:schemeClr w14:val="tx1"/>
            </w14:solidFill>
          </w14:textFill>
        </w:rPr>
      </w:pPr>
      <w:r>
        <w:rPr>
          <w:rFonts w:hint="eastAsia"/>
          <w:color w:val="000000" w:themeColor="text1"/>
          <w14:textFill>
            <w14:solidFill>
              <w14:schemeClr w14:val="tx1"/>
            </w14:solidFill>
          </w14:textFill>
        </w:rPr>
        <w:t>清点</w:t>
      </w:r>
    </w:p>
    <w:p w14:paraId="22FB1722">
      <w:pPr>
        <w:pStyle w:val="168"/>
        <w:rPr>
          <w:color w:val="000000" w:themeColor="text1"/>
          <w14:textFill>
            <w14:solidFill>
              <w14:schemeClr w14:val="tx1"/>
            </w14:solidFill>
          </w14:textFill>
        </w:rPr>
      </w:pPr>
      <w:r>
        <w:rPr>
          <w:color w:val="000000" w:themeColor="text1"/>
          <w14:textFill>
            <w14:solidFill>
              <w14:schemeClr w14:val="tx1"/>
            </w14:solidFill>
          </w14:textFill>
        </w:rPr>
        <w:t>应对</w:t>
      </w:r>
      <w:r>
        <w:rPr>
          <w:rFonts w:hint="eastAsia"/>
          <w:color w:val="000000" w:themeColor="text1"/>
          <w14:textFill>
            <w14:solidFill>
              <w14:schemeClr w14:val="tx1"/>
            </w14:solidFill>
          </w14:textFill>
        </w:rPr>
        <w:t>归档文件夹</w:t>
      </w:r>
      <w:r>
        <w:rPr>
          <w:color w:val="000000" w:themeColor="text1"/>
          <w14:textFill>
            <w14:solidFill>
              <w14:schemeClr w14:val="tx1"/>
            </w14:solidFill>
          </w14:textFill>
        </w:rPr>
        <w:t>中的政务服务全程网办电子文件组件及元数据的完整性、规范性等自动清点和技术检测，标记清点检测结果。</w:t>
      </w:r>
    </w:p>
    <w:p w14:paraId="07E91E4D">
      <w:pPr>
        <w:pStyle w:val="168"/>
        <w:rPr>
          <w:color w:val="000000" w:themeColor="text1"/>
          <w14:textFill>
            <w14:solidFill>
              <w14:schemeClr w14:val="tx1"/>
            </w14:solidFill>
          </w14:textFill>
        </w:rPr>
      </w:pPr>
      <w:r>
        <w:rPr>
          <w:color w:val="000000" w:themeColor="text1"/>
          <w14:textFill>
            <w14:solidFill>
              <w14:schemeClr w14:val="tx1"/>
            </w14:solidFill>
          </w14:textFill>
        </w:rPr>
        <w:t>归档的政务服务全程网办电子文件门类、保管期限、件数应与归档信息包中的归档材料信息相匹配，元数据应符合</w:t>
      </w:r>
      <w:r>
        <w:rPr>
          <w:rFonts w:hint="eastAsia" w:hAnsi="宋体"/>
          <w:color w:val="000000" w:themeColor="text1"/>
          <w14:textFill>
            <w14:solidFill>
              <w14:schemeClr w14:val="tx1"/>
            </w14:solidFill>
          </w14:textFill>
        </w:rPr>
        <w:t>GB</w:t>
      </w:r>
      <w:r>
        <w:rPr>
          <w:rFonts w:hAnsi="宋体"/>
          <w:color w:val="000000" w:themeColor="text1"/>
          <w14:textFill>
            <w14:solidFill>
              <w14:schemeClr w14:val="tx1"/>
            </w14:solidFill>
          </w14:textFill>
        </w:rPr>
        <w:t>/T 42727—2023中第</w:t>
      </w:r>
      <w:r>
        <w:rPr>
          <w:rFonts w:hint="eastAsia" w:hAnsi="宋体"/>
          <w:color w:val="000000" w:themeColor="text1"/>
          <w14:textFill>
            <w14:solidFill>
              <w14:schemeClr w14:val="tx1"/>
            </w14:solidFill>
          </w14:textFill>
        </w:rPr>
        <w:t>8章</w:t>
      </w:r>
      <w:r>
        <w:rPr>
          <w:rFonts w:hint="eastAsia"/>
          <w:color w:val="000000" w:themeColor="text1"/>
          <w14:textFill>
            <w14:solidFill>
              <w14:schemeClr w14:val="tx1"/>
            </w14:solidFill>
          </w14:textFill>
        </w:rPr>
        <w:t>的规定。</w:t>
      </w:r>
    </w:p>
    <w:p w14:paraId="30405247">
      <w:pPr>
        <w:pStyle w:val="168"/>
        <w:rPr>
          <w:color w:val="000000" w:themeColor="text1"/>
          <w14:textFill>
            <w14:solidFill>
              <w14:schemeClr w14:val="tx1"/>
            </w14:solidFill>
          </w14:textFill>
        </w:rPr>
      </w:pPr>
      <w:r>
        <w:rPr>
          <w:rFonts w:hint="eastAsia"/>
          <w:color w:val="000000" w:themeColor="text1"/>
          <w14:textFill>
            <w14:solidFill>
              <w14:schemeClr w14:val="tx1"/>
            </w14:solidFill>
          </w14:textFill>
        </w:rPr>
        <w:t>经</w:t>
      </w:r>
      <w:r>
        <w:rPr>
          <w:color w:val="000000" w:themeColor="text1"/>
          <w14:textFill>
            <w14:solidFill>
              <w14:schemeClr w14:val="tx1"/>
            </w14:solidFill>
          </w14:textFill>
        </w:rPr>
        <w:t>清点，政务服务全程网办电子文件组件及其元数据有缺失的应</w:t>
      </w:r>
      <w:r>
        <w:rPr>
          <w:rFonts w:hint="eastAsia"/>
          <w:color w:val="000000" w:themeColor="text1"/>
          <w14:textFill>
            <w14:solidFill>
              <w14:schemeClr w14:val="tx1"/>
            </w14:solidFill>
          </w14:textFill>
        </w:rPr>
        <w:t>予以</w:t>
      </w:r>
      <w:r>
        <w:rPr>
          <w:color w:val="000000" w:themeColor="text1"/>
          <w14:textFill>
            <w14:solidFill>
              <w14:schemeClr w14:val="tx1"/>
            </w14:solidFill>
          </w14:textFill>
        </w:rPr>
        <w:t>补充并重新整理。</w:t>
      </w:r>
    </w:p>
    <w:p w14:paraId="59AAE29E">
      <w:pPr>
        <w:pStyle w:val="69"/>
        <w:spacing w:before="156" w:after="156"/>
        <w:rPr>
          <w:color w:val="000000" w:themeColor="text1"/>
          <w14:textFill>
            <w14:solidFill>
              <w14:schemeClr w14:val="tx1"/>
            </w14:solidFill>
          </w14:textFill>
        </w:rPr>
      </w:pPr>
      <w:r>
        <w:rPr>
          <w:rFonts w:hint="eastAsia"/>
          <w:color w:val="000000" w:themeColor="text1"/>
          <w14:textFill>
            <w14:solidFill>
              <w14:schemeClr w14:val="tx1"/>
            </w14:solidFill>
          </w14:textFill>
        </w:rPr>
        <w:t>形成归档信息包</w:t>
      </w:r>
    </w:p>
    <w:p w14:paraId="29A6EA14">
      <w:pPr>
        <w:pStyle w:val="168"/>
      </w:pPr>
      <w:r>
        <w:t>应对电子文件内的电子签名</w:t>
      </w:r>
      <w:r>
        <w:rPr>
          <w:rFonts w:hint="eastAsia"/>
        </w:rPr>
        <w:t>（签章）</w:t>
      </w:r>
      <w:r>
        <w:t>进行</w:t>
      </w:r>
      <w:r>
        <w:rPr>
          <w:rFonts w:hint="eastAsia"/>
        </w:rPr>
        <w:t>固化</w:t>
      </w:r>
      <w:r>
        <w:t>处理，</w:t>
      </w:r>
      <w:r>
        <w:rPr>
          <w:rFonts w:hint="eastAsia"/>
        </w:rPr>
        <w:t>固化</w:t>
      </w:r>
      <w:r>
        <w:t>处理时应保留原电子签名（签章）的外观和相关属性信息。</w:t>
      </w:r>
    </w:p>
    <w:p w14:paraId="2B2CDBD3">
      <w:pPr>
        <w:pStyle w:val="168"/>
      </w:pPr>
      <w:r>
        <w:t>将清点合格的政务服务全程网办电子文件组件及元数据以</w:t>
      </w:r>
      <w:r>
        <w:rPr>
          <w:rFonts w:hint="eastAsia"/>
        </w:rPr>
        <w:t>归档文件夹</w:t>
      </w:r>
      <w:r>
        <w:t>为单位，按照DA/T 48的相关要求进行封装，形成归档信息包。</w:t>
      </w:r>
    </w:p>
    <w:p w14:paraId="51374252">
      <w:pPr>
        <w:pStyle w:val="69"/>
        <w:spacing w:before="156" w:after="156"/>
        <w:rPr>
          <w:color w:val="000000" w:themeColor="text1"/>
          <w14:textFill>
            <w14:solidFill>
              <w14:schemeClr w14:val="tx1"/>
            </w14:solidFill>
          </w14:textFill>
        </w:rPr>
      </w:pPr>
      <w:r>
        <w:rPr>
          <w:color w:val="000000" w:themeColor="text1"/>
          <w14:textFill>
            <w14:solidFill>
              <w14:schemeClr w14:val="tx1"/>
            </w14:solidFill>
          </w14:textFill>
        </w:rPr>
        <w:t>生成验证信息</w:t>
      </w:r>
    </w:p>
    <w:p w14:paraId="03482524">
      <w:pPr>
        <w:pStyle w:val="168"/>
      </w:pPr>
      <w:r>
        <w:t>应使用数字签名、可信时间戳</w:t>
      </w:r>
      <w:r>
        <w:rPr>
          <w:rFonts w:hint="eastAsia"/>
        </w:rPr>
        <w:t>、数字摘要</w:t>
      </w:r>
      <w:r>
        <w:t>等技术手段，生成可追溯的验证信息。生成的验证信息单独保存，并与归档信息包建立关联。</w:t>
      </w:r>
    </w:p>
    <w:p w14:paraId="47611717">
      <w:pPr>
        <w:pStyle w:val="168"/>
      </w:pPr>
      <w:r>
        <w:rPr>
          <w:rFonts w:hint="eastAsia"/>
        </w:rPr>
        <w:t>应记录经办人的操作行为，形成档案全流程日志</w:t>
      </w:r>
      <w:r>
        <w:t>。</w:t>
      </w:r>
    </w:p>
    <w:p w14:paraId="79BBCEC5">
      <w:pPr>
        <w:pStyle w:val="69"/>
        <w:spacing w:before="156" w:after="156"/>
        <w:rPr>
          <w:color w:val="000000" w:themeColor="text1"/>
          <w14:textFill>
            <w14:solidFill>
              <w14:schemeClr w14:val="tx1"/>
            </w14:solidFill>
          </w14:textFill>
        </w:rPr>
      </w:pPr>
      <w:r>
        <w:rPr>
          <w:rFonts w:hint="eastAsia"/>
          <w:color w:val="000000" w:themeColor="text1"/>
          <w14:textFill>
            <w14:solidFill>
              <w14:schemeClr w14:val="tx1"/>
            </w14:solidFill>
          </w14:textFill>
        </w:rPr>
        <w:t>归档检测</w:t>
      </w:r>
    </w:p>
    <w:p w14:paraId="355CBBEB">
      <w:pPr>
        <w:pStyle w:val="168"/>
      </w:pPr>
      <w:r>
        <w:rPr>
          <w:rFonts w:hint="eastAsia"/>
        </w:rPr>
        <w:t>在提交归档前，业务部门应</w:t>
      </w:r>
      <w:r>
        <w:t>通过专业检测工具或系统集成的检测</w:t>
      </w:r>
      <w:r>
        <w:rPr>
          <w:rFonts w:hint="eastAsia"/>
        </w:rPr>
        <w:t>功能</w:t>
      </w:r>
      <w:r>
        <w:t>，对归档信息包进行真实性、完整性、可用性、安全性</w:t>
      </w:r>
      <w:r>
        <w:rPr>
          <w:rFonts w:hint="eastAsia"/>
        </w:rPr>
        <w:t>等</w:t>
      </w:r>
      <w:r>
        <w:t>技术检测和验证，记录检测时间、结果，不符合要求的归档信息包应重新整理</w:t>
      </w:r>
      <w:r>
        <w:rPr>
          <w:rFonts w:hint="eastAsia"/>
        </w:rPr>
        <w:t>。</w:t>
      </w:r>
    </w:p>
    <w:p w14:paraId="2DEFCA8F">
      <w:pPr>
        <w:pStyle w:val="183"/>
      </w:pPr>
      <w:r>
        <w:t>宜参照DA/T 70</w:t>
      </w:r>
      <w:r>
        <w:rPr>
          <w:rFonts w:hAnsi="宋体"/>
        </w:rPr>
        <w:t>—</w:t>
      </w:r>
      <w:r>
        <w:t>2018中</w:t>
      </w:r>
      <w:r>
        <w:rPr>
          <w:rFonts w:hint="eastAsia"/>
        </w:rPr>
        <w:t>4</w:t>
      </w:r>
      <w:r>
        <w:t>.1和</w:t>
      </w:r>
      <w:r>
        <w:rPr>
          <w:rFonts w:hint="eastAsia"/>
        </w:rPr>
        <w:t>5</w:t>
      </w:r>
      <w:r>
        <w:t>.1的相关要求进行。</w:t>
      </w:r>
    </w:p>
    <w:p w14:paraId="0D7E4507">
      <w:pPr>
        <w:pStyle w:val="168"/>
      </w:pPr>
      <w:r>
        <w:t>应记录归档检测的过程信息，生成质量检查报告，反馈检测结果。</w:t>
      </w:r>
    </w:p>
    <w:p w14:paraId="76B7CC82">
      <w:pPr>
        <w:pStyle w:val="69"/>
        <w:spacing w:before="156" w:after="156"/>
        <w:rPr>
          <w:color w:val="000000" w:themeColor="text1"/>
          <w14:textFill>
            <w14:solidFill>
              <w14:schemeClr w14:val="tx1"/>
            </w14:solidFill>
          </w14:textFill>
        </w:rPr>
      </w:pPr>
      <w:r>
        <w:rPr>
          <w:rFonts w:hint="eastAsia"/>
          <w:color w:val="000000" w:themeColor="text1"/>
          <w14:textFill>
            <w14:solidFill>
              <w14:schemeClr w14:val="tx1"/>
            </w14:solidFill>
          </w14:textFill>
        </w:rPr>
        <w:t>数据交换</w:t>
      </w:r>
    </w:p>
    <w:p w14:paraId="30806B34">
      <w:pPr>
        <w:pStyle w:val="60"/>
        <w:ind w:firstLine="420"/>
        <w:rPr>
          <w:rFonts w:hAnsi="宋体"/>
          <w:color w:val="000000" w:themeColor="text1"/>
          <w14:textFill>
            <w14:solidFill>
              <w14:schemeClr w14:val="tx1"/>
            </w14:solidFill>
          </w14:textFill>
        </w:rPr>
      </w:pPr>
      <w:r>
        <w:rPr>
          <w:color w:val="000000" w:themeColor="text1"/>
          <w14:textFill>
            <w14:solidFill>
              <w14:schemeClr w14:val="tx1"/>
            </w14:solidFill>
          </w14:textFill>
        </w:rPr>
        <w:t>应将归档信息包从政务服务</w:t>
      </w:r>
      <w:r>
        <w:rPr>
          <w:rFonts w:hint="eastAsia"/>
          <w:color w:val="000000" w:themeColor="text1"/>
          <w14:textFill>
            <w14:solidFill>
              <w14:schemeClr w14:val="tx1"/>
            </w14:solidFill>
          </w14:textFill>
        </w:rPr>
        <w:t>业务</w:t>
      </w:r>
      <w:r>
        <w:rPr>
          <w:color w:val="000000" w:themeColor="text1"/>
          <w14:textFill>
            <w14:solidFill>
              <w14:schemeClr w14:val="tx1"/>
            </w14:solidFill>
          </w14:textFill>
        </w:rPr>
        <w:t xml:space="preserve">办理系统逐个或批量交换到电子档案管理系统，按照GB/T </w:t>
      </w:r>
      <w:r>
        <w:rPr>
          <w:rFonts w:hAnsi="宋体"/>
          <w:color w:val="000000" w:themeColor="text1"/>
          <w14:textFill>
            <w14:solidFill>
              <w14:schemeClr w14:val="tx1"/>
            </w14:solidFill>
          </w14:textFill>
        </w:rPr>
        <w:t>42727—2023中第</w:t>
      </w:r>
      <w:r>
        <w:rPr>
          <w:rFonts w:hint="eastAsia" w:hAnsi="宋体"/>
          <w:color w:val="000000" w:themeColor="text1"/>
          <w14:textFill>
            <w14:solidFill>
              <w14:schemeClr w14:val="tx1"/>
            </w14:solidFill>
          </w14:textFill>
        </w:rPr>
        <w:t>1</w:t>
      </w:r>
      <w:r>
        <w:rPr>
          <w:rFonts w:hAnsi="宋体"/>
          <w:color w:val="000000" w:themeColor="text1"/>
          <w14:textFill>
            <w14:solidFill>
              <w14:schemeClr w14:val="tx1"/>
            </w14:solidFill>
          </w14:textFill>
        </w:rPr>
        <w:t>0章的规定生成政务服务全程网办电子文件数据交换目录作为系统间交换凭据，保证数据交换前后的一致性。</w:t>
      </w:r>
    </w:p>
    <w:p w14:paraId="6135D70C">
      <w:pPr>
        <w:pStyle w:val="109"/>
        <w:spacing w:before="156" w:after="156"/>
      </w:pPr>
      <w:bookmarkStart w:id="251" w:name="_Toc170900461"/>
      <w:bookmarkStart w:id="252" w:name="_Toc170398213"/>
      <w:bookmarkStart w:id="253" w:name="_Toc171325657"/>
      <w:bookmarkStart w:id="254" w:name="_Toc171584695"/>
      <w:r>
        <w:rPr>
          <w:rFonts w:hint="eastAsia"/>
        </w:rPr>
        <w:t>正式归档阶段</w:t>
      </w:r>
      <w:bookmarkEnd w:id="251"/>
      <w:bookmarkEnd w:id="252"/>
      <w:bookmarkEnd w:id="253"/>
      <w:bookmarkEnd w:id="254"/>
    </w:p>
    <w:p w14:paraId="1D68DDCD">
      <w:pPr>
        <w:pStyle w:val="69"/>
        <w:spacing w:before="156" w:after="156"/>
        <w:rPr>
          <w:color w:val="000000" w:themeColor="text1"/>
          <w14:textFill>
            <w14:solidFill>
              <w14:schemeClr w14:val="tx1"/>
            </w14:solidFill>
          </w14:textFill>
        </w:rPr>
      </w:pPr>
      <w:r>
        <w:rPr>
          <w:rFonts w:hint="eastAsia"/>
          <w:color w:val="000000" w:themeColor="text1"/>
          <w14:textFill>
            <w14:solidFill>
              <w14:schemeClr w14:val="tx1"/>
            </w14:solidFill>
          </w14:textFill>
        </w:rPr>
        <w:t>接收检测</w:t>
      </w:r>
    </w:p>
    <w:p w14:paraId="16F194B2">
      <w:pPr>
        <w:pStyle w:val="168"/>
      </w:pPr>
      <w:r>
        <w:t>在登记编目前，</w:t>
      </w:r>
      <w:r>
        <w:rPr>
          <w:rFonts w:hint="eastAsia"/>
        </w:rPr>
        <w:t>档案部门应</w:t>
      </w:r>
      <w:r>
        <w:t>对归档信息包的真实性、完整性、可用性和安全性进行检测，对于不符合要求的归档信息包应退回重新整理，并注明退回原因。</w:t>
      </w:r>
    </w:p>
    <w:p w14:paraId="52B6E05A">
      <w:pPr>
        <w:pStyle w:val="183"/>
      </w:pPr>
      <w:r>
        <w:t>宜参照DA/T 70</w:t>
      </w:r>
      <w:r>
        <w:rPr>
          <w:rFonts w:hAnsi="宋体"/>
        </w:rPr>
        <w:t>—</w:t>
      </w:r>
      <w:r>
        <w:t>2018中</w:t>
      </w:r>
      <w:r>
        <w:rPr>
          <w:rFonts w:hint="eastAsia"/>
        </w:rPr>
        <w:t>4</w:t>
      </w:r>
      <w:r>
        <w:t>.2和</w:t>
      </w:r>
      <w:r>
        <w:rPr>
          <w:rFonts w:hint="eastAsia"/>
        </w:rPr>
        <w:t>5</w:t>
      </w:r>
      <w:r>
        <w:t>.2的相关要求进行。</w:t>
      </w:r>
    </w:p>
    <w:p w14:paraId="11233E0A">
      <w:pPr>
        <w:pStyle w:val="168"/>
      </w:pPr>
      <w:r>
        <w:t>应记录政务服务电子档案接收检测的过程信息，生成质量检查报告，反馈检测结果。</w:t>
      </w:r>
    </w:p>
    <w:p w14:paraId="3D3636E0">
      <w:pPr>
        <w:pStyle w:val="69"/>
        <w:spacing w:before="156" w:after="156"/>
        <w:rPr>
          <w:color w:val="000000" w:themeColor="text1"/>
          <w14:textFill>
            <w14:solidFill>
              <w14:schemeClr w14:val="tx1"/>
            </w14:solidFill>
          </w14:textFill>
        </w:rPr>
      </w:pPr>
      <w:r>
        <w:rPr>
          <w:rFonts w:hint="eastAsia"/>
          <w:color w:val="000000" w:themeColor="text1"/>
          <w14:textFill>
            <w14:solidFill>
              <w14:schemeClr w14:val="tx1"/>
            </w14:solidFill>
          </w14:textFill>
        </w:rPr>
        <w:t>登记编目</w:t>
      </w:r>
    </w:p>
    <w:p w14:paraId="5AECC2B4">
      <w:pPr>
        <w:pStyle w:val="168"/>
      </w:pPr>
      <w:r>
        <w:t>应将归档信息包按照GB/T 18894的要求导入电子档案管理系统预归档库进行登记，并自动编制档号，生成电子文件归档交接文据（归档登记表、归档目录等）</w:t>
      </w:r>
      <w:r>
        <w:rPr>
          <w:rFonts w:hint="eastAsia"/>
        </w:rPr>
        <w:t>。</w:t>
      </w:r>
    </w:p>
    <w:p w14:paraId="4E979551">
      <w:pPr>
        <w:pStyle w:val="168"/>
      </w:pPr>
      <w:r>
        <w:rPr>
          <w:rFonts w:hint="eastAsia"/>
        </w:rPr>
        <w:t>档号应按DA/</w:t>
      </w:r>
      <w:r>
        <w:t>T</w:t>
      </w:r>
      <w:r>
        <w:rPr>
          <w:rFonts w:hint="eastAsia"/>
        </w:rPr>
        <w:t xml:space="preserve"> </w:t>
      </w:r>
      <w:r>
        <w:t>13</w:t>
      </w:r>
      <w:r>
        <w:rPr>
          <w:rFonts w:hint="eastAsia"/>
        </w:rPr>
        <w:t>给出</w:t>
      </w:r>
      <w:r>
        <w:t>的规则，根据需要生成，由全宗号、档案门类代码、机构（问题）代码等要素组成。</w:t>
      </w:r>
    </w:p>
    <w:p w14:paraId="6F7B1111">
      <w:pPr>
        <w:pStyle w:val="168"/>
      </w:pPr>
      <w:r>
        <w:t>解析归档信息包中的基本信息元数据，自动生成归档目录。</w:t>
      </w:r>
    </w:p>
    <w:p w14:paraId="40B70C4B">
      <w:pPr>
        <w:pStyle w:val="69"/>
        <w:spacing w:before="156" w:after="156"/>
        <w:rPr>
          <w:color w:val="000000" w:themeColor="text1"/>
          <w14:textFill>
            <w14:solidFill>
              <w14:schemeClr w14:val="tx1"/>
            </w14:solidFill>
          </w14:textFill>
        </w:rPr>
      </w:pPr>
      <w:r>
        <w:rPr>
          <w:rFonts w:hint="eastAsia"/>
          <w:color w:val="000000" w:themeColor="text1"/>
          <w14:textFill>
            <w14:solidFill>
              <w14:schemeClr w14:val="tx1"/>
            </w14:solidFill>
          </w14:textFill>
        </w:rPr>
        <w:t>入库</w:t>
      </w:r>
    </w:p>
    <w:p w14:paraId="0903694B">
      <w:pPr>
        <w:pStyle w:val="60"/>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应将政务服务电子档案导入电子档案管理系统正式库，由档案部门进行电子档案单套管理。电子档案长期保存时应</w:t>
      </w:r>
      <w:r>
        <w:rPr>
          <w:color w:val="000000" w:themeColor="text1"/>
          <w14:textFill>
            <w14:solidFill>
              <w14:schemeClr w14:val="tx1"/>
            </w14:solidFill>
          </w14:textFill>
        </w:rPr>
        <w:t>定期对电子档案进行真实性、完整性、可用性和安全性检测</w:t>
      </w:r>
      <w:r>
        <w:rPr>
          <w:rFonts w:hint="eastAsia"/>
          <w:color w:val="000000" w:themeColor="text1"/>
          <w14:textFill>
            <w14:solidFill>
              <w14:schemeClr w14:val="tx1"/>
            </w14:solidFill>
          </w14:textFill>
        </w:rPr>
        <w:t>。</w:t>
      </w:r>
    </w:p>
    <w:p w14:paraId="126474FD">
      <w:pPr>
        <w:pStyle w:val="183"/>
      </w:pPr>
      <w:r>
        <w:t>宜参照DA/T 70</w:t>
      </w:r>
      <w:r>
        <w:rPr>
          <w:rFonts w:hAnsi="宋体"/>
        </w:rPr>
        <w:t>—</w:t>
      </w:r>
      <w:r>
        <w:t>2018中</w:t>
      </w:r>
      <w:r>
        <w:rPr>
          <w:rFonts w:hint="eastAsia"/>
        </w:rPr>
        <w:t>4</w:t>
      </w:r>
      <w:r>
        <w:t>.3和</w:t>
      </w:r>
      <w:r>
        <w:rPr>
          <w:rFonts w:hint="eastAsia"/>
        </w:rPr>
        <w:t>5</w:t>
      </w:r>
      <w:r>
        <w:t>.3的相关要求进行。</w:t>
      </w:r>
    </w:p>
    <w:p w14:paraId="5E17498D">
      <w:pPr>
        <w:pStyle w:val="108"/>
        <w:spacing w:before="312" w:after="312"/>
      </w:pPr>
      <w:bookmarkStart w:id="255" w:name="_Toc171584696"/>
      <w:bookmarkStart w:id="256" w:name="_Toc171325658"/>
      <w:bookmarkStart w:id="257" w:name="_Toc170398214"/>
      <w:bookmarkStart w:id="258" w:name="_Toc170900462"/>
      <w:r>
        <w:rPr>
          <w:rFonts w:hint="eastAsia"/>
        </w:rPr>
        <w:t>电子档案单套管理要求</w:t>
      </w:r>
      <w:bookmarkEnd w:id="255"/>
      <w:bookmarkEnd w:id="256"/>
      <w:bookmarkEnd w:id="257"/>
      <w:bookmarkEnd w:id="258"/>
    </w:p>
    <w:p w14:paraId="482FB956">
      <w:pPr>
        <w:pStyle w:val="166"/>
      </w:pPr>
      <w:r>
        <w:rPr>
          <w:rFonts w:hint="eastAsia"/>
        </w:rPr>
        <w:t>档案部门应按照GB</w:t>
      </w:r>
      <w:r>
        <w:t>/T 18894</w:t>
      </w:r>
      <w:r>
        <w:rPr>
          <w:rFonts w:hAnsi="宋体"/>
        </w:rPr>
        <w:t>—</w:t>
      </w:r>
      <w:r>
        <w:t>2016中第</w:t>
      </w:r>
      <w:r>
        <w:rPr>
          <w:rFonts w:hint="eastAsia"/>
        </w:rPr>
        <w:t>9章和第1</w:t>
      </w:r>
      <w:r>
        <w:t>0章的要求，开展</w:t>
      </w:r>
      <w:r>
        <w:rPr>
          <w:rFonts w:hint="eastAsia"/>
        </w:rPr>
        <w:t>电子档案</w:t>
      </w:r>
      <w:r>
        <w:t>的存储、备份、利用、统计、元数据维护、鉴定与审查、转换与迁移等工作。</w:t>
      </w:r>
    </w:p>
    <w:p w14:paraId="51A7B656">
      <w:pPr>
        <w:pStyle w:val="166"/>
      </w:pPr>
      <w:r>
        <w:t>电子档案的单套管理应符合DA/T 92</w:t>
      </w:r>
      <w:r>
        <w:rPr>
          <w:rFonts w:hAnsi="宋体"/>
        </w:rPr>
        <w:t>—</w:t>
      </w:r>
      <w:r>
        <w:t>2022中第</w:t>
      </w:r>
      <w:r>
        <w:rPr>
          <w:rFonts w:hint="eastAsia"/>
        </w:rPr>
        <w:t>9章规定的安全管理要求。</w:t>
      </w:r>
    </w:p>
    <w:p w14:paraId="6549F5B3">
      <w:pPr>
        <w:pStyle w:val="166"/>
      </w:pPr>
      <w:r>
        <w:t>属于</w:t>
      </w:r>
      <w:r>
        <w:rPr>
          <w:rFonts w:hint="eastAsia"/>
        </w:rPr>
        <w:t>进馆范围</w:t>
      </w:r>
      <w:r>
        <w:t>的电子档案，应按照DA/T 93的相关要求向同级</w:t>
      </w:r>
      <w:r>
        <w:rPr>
          <w:rFonts w:hint="eastAsia"/>
        </w:rPr>
        <w:t>国家综合档案馆</w:t>
      </w:r>
      <w:r>
        <w:t>移交电子档案并附具开放利用意见。同级</w:t>
      </w:r>
      <w:r>
        <w:rPr>
          <w:rFonts w:hint="eastAsia"/>
        </w:rPr>
        <w:t>国家综合档案馆</w:t>
      </w:r>
      <w:r>
        <w:t>接收时，应对电子档案进行真实性、完整性、可用性和安全性检测，办理电子档案移交接收手续。</w:t>
      </w:r>
    </w:p>
    <w:p w14:paraId="2D1211EA">
      <w:pPr>
        <w:pStyle w:val="98"/>
        <w:spacing w:before="156" w:after="156"/>
        <w:rPr>
          <w:color w:val="000000" w:themeColor="text1"/>
          <w14:textFill>
            <w14:solidFill>
              <w14:schemeClr w14:val="tx1"/>
            </w14:solidFill>
          </w14:textFill>
        </w:rPr>
        <w:sectPr>
          <w:headerReference r:id="rId19" w:type="default"/>
          <w:footerReference r:id="rId21" w:type="default"/>
          <w:headerReference r:id="rId20" w:type="even"/>
          <w:footerReference r:id="rId22" w:type="even"/>
          <w:pgSz w:w="11906" w:h="16838"/>
          <w:pgMar w:top="1928" w:right="1134" w:bottom="1134" w:left="1134" w:header="1418" w:footer="1134" w:gutter="284"/>
          <w:pgNumType w:start="1"/>
          <w:cols w:space="425" w:num="1"/>
          <w:formProt w:val="0"/>
          <w:docGrid w:type="lines" w:linePitch="312" w:charSpace="0"/>
        </w:sectPr>
      </w:pPr>
    </w:p>
    <w:bookmarkEnd w:id="55"/>
    <w:p w14:paraId="42EAC875">
      <w:pPr>
        <w:pStyle w:val="202"/>
        <w:rPr>
          <w:vanish w:val="0"/>
          <w:color w:val="000000" w:themeColor="text1"/>
          <w14:textFill>
            <w14:solidFill>
              <w14:schemeClr w14:val="tx1"/>
            </w14:solidFill>
          </w14:textFill>
        </w:rPr>
      </w:pPr>
      <w:bookmarkStart w:id="259" w:name="BookMark5"/>
    </w:p>
    <w:p w14:paraId="50230E97">
      <w:pPr>
        <w:pStyle w:val="203"/>
        <w:rPr>
          <w:vanish w:val="0"/>
          <w:color w:val="000000" w:themeColor="text1"/>
          <w14:textFill>
            <w14:solidFill>
              <w14:schemeClr w14:val="tx1"/>
            </w14:solidFill>
          </w14:textFill>
        </w:rPr>
      </w:pPr>
    </w:p>
    <w:p w14:paraId="41150998">
      <w:pPr>
        <w:pStyle w:val="202"/>
        <w:rPr>
          <w:vanish w:val="0"/>
          <w:color w:val="000000" w:themeColor="text1"/>
          <w14:textFill>
            <w14:solidFill>
              <w14:schemeClr w14:val="tx1"/>
            </w14:solidFill>
          </w14:textFill>
        </w:rPr>
      </w:pPr>
    </w:p>
    <w:p w14:paraId="4837781D">
      <w:pPr>
        <w:pStyle w:val="203"/>
        <w:rPr>
          <w:vanish w:val="0"/>
          <w:color w:val="000000" w:themeColor="text1"/>
          <w14:textFill>
            <w14:solidFill>
              <w14:schemeClr w14:val="tx1"/>
            </w14:solidFill>
          </w14:textFill>
        </w:rPr>
      </w:pPr>
    </w:p>
    <w:p w14:paraId="476AE12C">
      <w:pPr>
        <w:pStyle w:val="80"/>
        <w:spacing w:after="156"/>
        <w:rPr>
          <w:color w:val="000000" w:themeColor="text1"/>
          <w14:textFill>
            <w14:solidFill>
              <w14:schemeClr w14:val="tx1"/>
            </w14:solidFill>
          </w14:textFill>
        </w:rPr>
      </w:pPr>
      <w:r>
        <w:rPr>
          <w:color w:val="000000" w:themeColor="text1"/>
          <w14:textFill>
            <w14:solidFill>
              <w14:schemeClr w14:val="tx1"/>
            </w14:solidFill>
          </w14:textFill>
        </w:rPr>
        <w:br w:type="textWrapping"/>
      </w:r>
      <w:bookmarkStart w:id="260" w:name="_Toc134628800"/>
      <w:bookmarkStart w:id="261" w:name="_Toc134622511"/>
      <w:bookmarkStart w:id="262" w:name="_Toc138606147"/>
      <w:bookmarkStart w:id="263" w:name="_Toc141457000"/>
      <w:bookmarkStart w:id="264" w:name="_Toc141690884"/>
      <w:bookmarkStart w:id="265" w:name="_Toc141454928"/>
      <w:bookmarkStart w:id="266" w:name="_Toc150435634"/>
      <w:bookmarkStart w:id="267" w:name="_Toc155860944"/>
      <w:bookmarkStart w:id="268" w:name="_Toc155866429"/>
      <w:bookmarkStart w:id="269" w:name="_Toc161240718"/>
      <w:bookmarkStart w:id="270" w:name="_Toc155871105"/>
      <w:bookmarkStart w:id="271" w:name="_Toc154393458"/>
      <w:bookmarkStart w:id="272" w:name="_Toc155793372"/>
      <w:bookmarkStart w:id="273" w:name="_Toc170900463"/>
      <w:bookmarkStart w:id="274" w:name="_Toc162013383"/>
      <w:bookmarkStart w:id="275" w:name="_Toc164863335"/>
      <w:bookmarkStart w:id="276" w:name="_Toc170398215"/>
      <w:bookmarkStart w:id="277" w:name="_Toc169012572"/>
      <w:bookmarkStart w:id="278" w:name="_Toc162537330"/>
      <w:bookmarkStart w:id="279" w:name="_Toc171584697"/>
      <w:bookmarkStart w:id="280" w:name="_Toc167894897"/>
      <w:bookmarkStart w:id="281" w:name="_Toc168473786"/>
      <w:bookmarkStart w:id="282" w:name="_Toc167980193"/>
      <w:bookmarkStart w:id="283" w:name="_Toc169514949"/>
      <w:bookmarkStart w:id="284" w:name="_Toc167894445"/>
      <w:bookmarkStart w:id="285" w:name="_Toc162013355"/>
      <w:bookmarkStart w:id="286" w:name="_Toc161752922"/>
      <w:bookmarkStart w:id="287" w:name="_Toc162339018"/>
      <w:bookmarkStart w:id="288" w:name="_Toc171325659"/>
      <w:r>
        <w:rPr>
          <w:rFonts w:hint="eastAsia"/>
          <w:color w:val="000000" w:themeColor="text1"/>
          <w14:textFill>
            <w14:solidFill>
              <w14:schemeClr w14:val="tx1"/>
            </w14:solidFill>
          </w14:textFill>
        </w:rPr>
        <w:t>（资料性）</w:t>
      </w:r>
      <w:r>
        <w:rPr>
          <w:color w:val="000000" w:themeColor="text1"/>
          <w14:textFill>
            <w14:solidFill>
              <w14:schemeClr w14:val="tx1"/>
            </w14:solidFill>
          </w14:textFill>
        </w:rPr>
        <w:br w:type="textWrapping"/>
      </w:r>
      <w:r>
        <w:rPr>
          <w:rFonts w:hint="eastAsia"/>
          <w:color w:val="000000" w:themeColor="text1"/>
          <w14:textFill>
            <w14:solidFill>
              <w14:schemeClr w14:val="tx1"/>
            </w14:solidFill>
          </w14:textFill>
        </w:rPr>
        <w:t>政务服务全程网办电子文件单套归档范围和档案保管期限表</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5D4AA271">
      <w:pPr>
        <w:pStyle w:val="60"/>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政务服务全程网办电子文件单套</w:t>
      </w:r>
      <w:r>
        <w:rPr>
          <w:color w:val="000000" w:themeColor="text1"/>
          <w14:textFill>
            <w14:solidFill>
              <w14:schemeClr w14:val="tx1"/>
            </w14:solidFill>
          </w14:textFill>
        </w:rPr>
        <w:t>归档范围和档案保管期限表</w:t>
      </w:r>
      <w:r>
        <w:rPr>
          <w:rFonts w:hint="eastAsia"/>
          <w:color w:val="000000" w:themeColor="text1"/>
          <w14:textFill>
            <w14:solidFill>
              <w14:schemeClr w14:val="tx1"/>
            </w14:solidFill>
          </w14:textFill>
        </w:rPr>
        <w:t>样式</w:t>
      </w:r>
      <w:r>
        <w:rPr>
          <w:color w:val="000000" w:themeColor="text1"/>
          <w14:textFill>
            <w14:solidFill>
              <w14:schemeClr w14:val="tx1"/>
            </w14:solidFill>
          </w14:textFill>
        </w:rPr>
        <w:t>见表</w:t>
      </w:r>
      <w:r>
        <w:rPr>
          <w:rFonts w:hint="eastAsia"/>
          <w:color w:val="000000" w:themeColor="text1"/>
          <w14:textFill>
            <w14:solidFill>
              <w14:schemeClr w14:val="tx1"/>
            </w14:solidFill>
          </w14:textFill>
        </w:rPr>
        <w:t>A</w:t>
      </w:r>
      <w:r>
        <w:rPr>
          <w:color w:val="000000" w:themeColor="text1"/>
          <w14:textFill>
            <w14:solidFill>
              <w14:schemeClr w14:val="tx1"/>
            </w14:solidFill>
          </w14:textFill>
        </w:rPr>
        <w:t>.1。</w:t>
      </w:r>
    </w:p>
    <w:p w14:paraId="5B29C406">
      <w:pPr>
        <w:pStyle w:val="81"/>
        <w:numPr>
          <w:ilvl w:val="0"/>
          <w:numId w:val="0"/>
        </w:numPr>
        <w:spacing w:before="156" w:after="156"/>
      </w:pPr>
      <w:r>
        <w:t xml:space="preserve">表A.1 </w:t>
      </w:r>
      <w:r>
        <w:rPr>
          <w:rFonts w:hint="eastAsia"/>
          <w:color w:val="000000" w:themeColor="text1"/>
          <w14:textFill>
            <w14:solidFill>
              <w14:schemeClr w14:val="tx1"/>
            </w14:solidFill>
          </w14:textFill>
        </w:rPr>
        <w:t>政务服务全程网办</w:t>
      </w:r>
      <w:r>
        <w:rPr>
          <w:rFonts w:hint="eastAsia"/>
        </w:rPr>
        <w:t>电子文件单套归档范围和档案保管期限表样式</w:t>
      </w:r>
    </w:p>
    <w:p w14:paraId="0016F118">
      <w:pPr>
        <w:pStyle w:val="60"/>
        <w:ind w:firstLine="0" w:firstLineChars="0"/>
        <w:jc w:val="center"/>
        <w:rPr>
          <w:rFonts w:ascii="方正小标宋简体" w:eastAsia="方正小标宋简体"/>
          <w:color w:val="000000" w:themeColor="text1"/>
          <w14:textFill>
            <w14:solidFill>
              <w14:schemeClr w14:val="tx1"/>
            </w14:solidFill>
          </w14:textFill>
        </w:rPr>
      </w:pPr>
      <w:r>
        <w:rPr>
          <w:rFonts w:hint="eastAsia" w:ascii="方正小标宋简体" w:eastAsia="方正小标宋简体"/>
          <w:color w:val="000000" w:themeColor="text1"/>
          <w:sz w:val="28"/>
          <w14:textFill>
            <w14:solidFill>
              <w14:schemeClr w14:val="tx1"/>
            </w14:solidFill>
          </w14:textFill>
        </w:rPr>
        <w:t>XX单位政务服务全程网办电子文件单套归档范围和档案保管期限表（XX年XX月）</w:t>
      </w:r>
    </w:p>
    <w:tbl>
      <w:tblPr>
        <w:tblStyle w:val="29"/>
        <w:tblW w:w="13756" w:type="dxa"/>
        <w:tblInd w:w="0" w:type="dxa"/>
        <w:tblLayout w:type="autofit"/>
        <w:tblCellMar>
          <w:top w:w="0" w:type="dxa"/>
          <w:left w:w="108" w:type="dxa"/>
          <w:bottom w:w="0" w:type="dxa"/>
          <w:right w:w="108" w:type="dxa"/>
        </w:tblCellMar>
      </w:tblPr>
      <w:tblGrid>
        <w:gridCol w:w="1181"/>
        <w:gridCol w:w="1276"/>
        <w:gridCol w:w="1275"/>
        <w:gridCol w:w="3402"/>
        <w:gridCol w:w="1276"/>
        <w:gridCol w:w="1559"/>
        <w:gridCol w:w="1418"/>
        <w:gridCol w:w="1670"/>
        <w:gridCol w:w="699"/>
      </w:tblGrid>
      <w:tr w14:paraId="2B385306">
        <w:tblPrEx>
          <w:tblCellMar>
            <w:top w:w="0" w:type="dxa"/>
            <w:left w:w="108" w:type="dxa"/>
            <w:bottom w:w="0" w:type="dxa"/>
            <w:right w:w="108" w:type="dxa"/>
          </w:tblCellMar>
        </w:tblPrEx>
        <w:trPr>
          <w:trHeight w:val="20" w:hRule="atLeast"/>
        </w:trPr>
        <w:tc>
          <w:tcPr>
            <w:tcW w:w="1181" w:type="dxa"/>
            <w:tcBorders>
              <w:top w:val="single" w:color="auto" w:sz="8" w:space="0"/>
              <w:left w:val="single" w:color="auto" w:sz="8" w:space="0"/>
              <w:bottom w:val="single" w:color="auto" w:sz="8" w:space="0"/>
              <w:right w:val="single" w:color="auto" w:sz="8" w:space="0"/>
            </w:tcBorders>
            <w:shd w:val="clear" w:color="auto" w:fill="auto"/>
            <w:noWrap/>
            <w:vAlign w:val="center"/>
          </w:tcPr>
          <w:p w14:paraId="2A698918">
            <w:pPr>
              <w:widowControl/>
              <w:adjustRightInd/>
              <w:spacing w:line="240" w:lineRule="auto"/>
              <w:jc w:val="center"/>
              <w:rPr>
                <w:rFonts w:ascii="宋体" w:hAnsi="宋体" w:cs="Arial"/>
                <w:color w:val="000000" w:themeColor="text1"/>
                <w:kern w:val="0"/>
                <w:sz w:val="18"/>
                <w:szCs w:val="18"/>
                <w14:textFill>
                  <w14:solidFill>
                    <w14:schemeClr w14:val="tx1"/>
                  </w14:solidFill>
                </w14:textFill>
              </w:rPr>
            </w:pPr>
            <w:r>
              <w:rPr>
                <w:rFonts w:hint="eastAsia" w:ascii="宋体" w:hAnsi="宋体" w:cs="Arial"/>
                <w:color w:val="000000" w:themeColor="text1"/>
                <w:kern w:val="0"/>
                <w:sz w:val="18"/>
                <w:szCs w:val="18"/>
                <w14:textFill>
                  <w14:solidFill>
                    <w14:schemeClr w14:val="tx1"/>
                  </w14:solidFill>
                </w14:textFill>
              </w:rPr>
              <w:t>事项名称</w:t>
            </w:r>
          </w:p>
        </w:tc>
        <w:tc>
          <w:tcPr>
            <w:tcW w:w="1276" w:type="dxa"/>
            <w:tcBorders>
              <w:top w:val="single" w:color="auto" w:sz="8" w:space="0"/>
              <w:left w:val="nil"/>
              <w:bottom w:val="single" w:color="auto" w:sz="8" w:space="0"/>
              <w:right w:val="single" w:color="auto" w:sz="8" w:space="0"/>
            </w:tcBorders>
            <w:shd w:val="clear" w:color="auto" w:fill="auto"/>
            <w:noWrap/>
            <w:vAlign w:val="center"/>
          </w:tcPr>
          <w:p w14:paraId="16C72EE1">
            <w:pPr>
              <w:widowControl/>
              <w:adjustRightInd/>
              <w:spacing w:line="240" w:lineRule="auto"/>
              <w:jc w:val="center"/>
              <w:rPr>
                <w:rFonts w:ascii="宋体" w:hAnsi="宋体" w:cs="Arial"/>
                <w:color w:val="000000" w:themeColor="text1"/>
                <w:kern w:val="0"/>
                <w:sz w:val="18"/>
                <w:szCs w:val="18"/>
                <w14:textFill>
                  <w14:solidFill>
                    <w14:schemeClr w14:val="tx1"/>
                  </w14:solidFill>
                </w14:textFill>
              </w:rPr>
            </w:pPr>
            <w:r>
              <w:rPr>
                <w:rFonts w:hint="eastAsia" w:ascii="宋体" w:hAnsi="宋体" w:cs="Arial"/>
                <w:color w:val="000000" w:themeColor="text1"/>
                <w:kern w:val="0"/>
                <w:sz w:val="18"/>
                <w:szCs w:val="18"/>
                <w14:textFill>
                  <w14:solidFill>
                    <w14:schemeClr w14:val="tx1"/>
                  </w14:solidFill>
                </w14:textFill>
              </w:rPr>
              <w:t>业务名称</w:t>
            </w:r>
          </w:p>
        </w:tc>
        <w:tc>
          <w:tcPr>
            <w:tcW w:w="1275" w:type="dxa"/>
            <w:tcBorders>
              <w:top w:val="single" w:color="auto" w:sz="8" w:space="0"/>
              <w:left w:val="nil"/>
              <w:bottom w:val="single" w:color="auto" w:sz="8" w:space="0"/>
              <w:right w:val="single" w:color="auto" w:sz="8" w:space="0"/>
            </w:tcBorders>
            <w:shd w:val="clear" w:color="auto" w:fill="auto"/>
            <w:noWrap/>
            <w:vAlign w:val="center"/>
          </w:tcPr>
          <w:p w14:paraId="7DB89C1D">
            <w:pPr>
              <w:widowControl/>
              <w:adjustRightInd/>
              <w:spacing w:line="240" w:lineRule="auto"/>
              <w:jc w:val="center"/>
              <w:rPr>
                <w:rFonts w:ascii="宋体" w:hAnsi="宋体" w:cs="Arial"/>
                <w:color w:val="000000" w:themeColor="text1"/>
                <w:kern w:val="0"/>
                <w:sz w:val="18"/>
                <w:szCs w:val="18"/>
                <w14:textFill>
                  <w14:solidFill>
                    <w14:schemeClr w14:val="tx1"/>
                  </w14:solidFill>
                </w14:textFill>
              </w:rPr>
            </w:pPr>
            <w:r>
              <w:rPr>
                <w:rFonts w:hint="eastAsia" w:ascii="宋体" w:hAnsi="宋体" w:cs="Arial"/>
                <w:color w:val="000000" w:themeColor="text1"/>
                <w:kern w:val="0"/>
                <w:sz w:val="18"/>
                <w:szCs w:val="18"/>
                <w14:textFill>
                  <w14:solidFill>
                    <w14:schemeClr w14:val="tx1"/>
                  </w14:solidFill>
                </w14:textFill>
              </w:rPr>
              <w:t>材料分类</w:t>
            </w:r>
          </w:p>
        </w:tc>
        <w:tc>
          <w:tcPr>
            <w:tcW w:w="3402" w:type="dxa"/>
            <w:tcBorders>
              <w:top w:val="single" w:color="auto" w:sz="8" w:space="0"/>
              <w:left w:val="nil"/>
              <w:bottom w:val="single" w:color="auto" w:sz="8" w:space="0"/>
              <w:right w:val="single" w:color="auto" w:sz="8" w:space="0"/>
            </w:tcBorders>
            <w:shd w:val="clear" w:color="auto" w:fill="auto"/>
            <w:noWrap/>
            <w:vAlign w:val="center"/>
          </w:tcPr>
          <w:p w14:paraId="2DAF6BC4">
            <w:pPr>
              <w:widowControl/>
              <w:adjustRightInd/>
              <w:spacing w:line="240" w:lineRule="auto"/>
              <w:jc w:val="center"/>
              <w:rPr>
                <w:rFonts w:ascii="宋体" w:hAnsi="宋体" w:cs="Arial"/>
                <w:color w:val="000000" w:themeColor="text1"/>
                <w:kern w:val="0"/>
                <w:sz w:val="18"/>
                <w:szCs w:val="18"/>
                <w14:textFill>
                  <w14:solidFill>
                    <w14:schemeClr w14:val="tx1"/>
                  </w14:solidFill>
                </w14:textFill>
              </w:rPr>
            </w:pPr>
            <w:r>
              <w:rPr>
                <w:rFonts w:hint="eastAsia" w:ascii="宋体" w:hAnsi="宋体" w:cs="Arial"/>
                <w:color w:val="000000" w:themeColor="text1"/>
                <w:kern w:val="0"/>
                <w:sz w:val="18"/>
                <w:szCs w:val="18"/>
                <w14:textFill>
                  <w14:solidFill>
                    <w14:schemeClr w14:val="tx1"/>
                  </w14:solidFill>
                </w14:textFill>
              </w:rPr>
              <w:t>归档范围</w:t>
            </w:r>
          </w:p>
        </w:tc>
        <w:tc>
          <w:tcPr>
            <w:tcW w:w="1276" w:type="dxa"/>
            <w:tcBorders>
              <w:top w:val="single" w:color="auto" w:sz="8" w:space="0"/>
              <w:left w:val="nil"/>
              <w:bottom w:val="single" w:color="auto" w:sz="8" w:space="0"/>
              <w:right w:val="single" w:color="auto" w:sz="8" w:space="0"/>
            </w:tcBorders>
            <w:shd w:val="clear" w:color="auto" w:fill="auto"/>
            <w:noWrap/>
            <w:vAlign w:val="center"/>
          </w:tcPr>
          <w:p w14:paraId="5ED4FC4E">
            <w:pPr>
              <w:widowControl/>
              <w:adjustRightInd/>
              <w:spacing w:line="240" w:lineRule="auto"/>
              <w:jc w:val="center"/>
              <w:rPr>
                <w:rFonts w:ascii="宋体" w:hAnsi="宋体" w:cs="Arial"/>
                <w:color w:val="000000" w:themeColor="text1"/>
                <w:kern w:val="0"/>
                <w:sz w:val="18"/>
                <w:szCs w:val="18"/>
                <w14:textFill>
                  <w14:solidFill>
                    <w14:schemeClr w14:val="tx1"/>
                  </w14:solidFill>
                </w14:textFill>
              </w:rPr>
            </w:pPr>
            <w:r>
              <w:rPr>
                <w:rFonts w:hint="eastAsia" w:ascii="宋体" w:hAnsi="宋体" w:cs="Arial"/>
                <w:color w:val="000000" w:themeColor="text1"/>
                <w:kern w:val="0"/>
                <w:sz w:val="18"/>
                <w:szCs w:val="18"/>
                <w14:textFill>
                  <w14:solidFill>
                    <w14:schemeClr w14:val="tx1"/>
                  </w14:solidFill>
                </w14:textFill>
              </w:rPr>
              <w:t>保管期限</w:t>
            </w:r>
          </w:p>
        </w:tc>
        <w:tc>
          <w:tcPr>
            <w:tcW w:w="1559" w:type="dxa"/>
            <w:tcBorders>
              <w:top w:val="single" w:color="auto" w:sz="8" w:space="0"/>
              <w:left w:val="nil"/>
              <w:bottom w:val="single" w:color="auto" w:sz="8" w:space="0"/>
              <w:right w:val="single" w:color="auto" w:sz="8" w:space="0"/>
            </w:tcBorders>
          </w:tcPr>
          <w:p w14:paraId="72485094">
            <w:pPr>
              <w:widowControl/>
              <w:adjustRightInd/>
              <w:spacing w:line="240" w:lineRule="auto"/>
              <w:jc w:val="center"/>
              <w:rPr>
                <w:rFonts w:ascii="宋体" w:hAnsi="宋体" w:cs="Arial"/>
                <w:color w:val="000000" w:themeColor="text1"/>
                <w:kern w:val="0"/>
                <w:sz w:val="18"/>
                <w:szCs w:val="18"/>
                <w14:textFill>
                  <w14:solidFill>
                    <w14:schemeClr w14:val="tx1"/>
                  </w14:solidFill>
                </w14:textFill>
              </w:rPr>
            </w:pPr>
            <w:r>
              <w:rPr>
                <w:rFonts w:hint="eastAsia" w:ascii="宋体" w:hAnsi="宋体" w:cs="Arial"/>
                <w:color w:val="000000" w:themeColor="text1"/>
                <w:kern w:val="0"/>
                <w:sz w:val="18"/>
                <w:szCs w:val="18"/>
                <w14:textFill>
                  <w14:solidFill>
                    <w14:schemeClr w14:val="tx1"/>
                  </w14:solidFill>
                </w14:textFill>
              </w:rPr>
              <w:t>档案利用权限</w:t>
            </w:r>
          </w:p>
        </w:tc>
        <w:tc>
          <w:tcPr>
            <w:tcW w:w="1418" w:type="dxa"/>
            <w:tcBorders>
              <w:top w:val="single" w:color="auto" w:sz="8" w:space="0"/>
              <w:left w:val="nil"/>
              <w:bottom w:val="single" w:color="auto" w:sz="8" w:space="0"/>
              <w:right w:val="single" w:color="auto" w:sz="8" w:space="0"/>
            </w:tcBorders>
          </w:tcPr>
          <w:p w14:paraId="1E060D81">
            <w:pPr>
              <w:widowControl/>
              <w:adjustRightInd/>
              <w:spacing w:line="240" w:lineRule="auto"/>
              <w:jc w:val="center"/>
              <w:rPr>
                <w:rFonts w:ascii="宋体" w:hAnsi="宋体" w:cs="Arial"/>
                <w:color w:val="000000" w:themeColor="text1"/>
                <w:kern w:val="0"/>
                <w:sz w:val="18"/>
                <w:szCs w:val="18"/>
                <w14:textFill>
                  <w14:solidFill>
                    <w14:schemeClr w14:val="tx1"/>
                  </w14:solidFill>
                </w14:textFill>
              </w:rPr>
            </w:pPr>
            <w:r>
              <w:rPr>
                <w:rFonts w:hint="eastAsia" w:ascii="宋体" w:hAnsi="宋体" w:cs="Arial"/>
                <w:color w:val="000000" w:themeColor="text1"/>
                <w:kern w:val="0"/>
                <w:sz w:val="18"/>
                <w:szCs w:val="18"/>
                <w14:textFill>
                  <w14:solidFill>
                    <w14:schemeClr w14:val="tx1"/>
                  </w14:solidFill>
                </w14:textFill>
              </w:rPr>
              <w:t>是否进馆</w:t>
            </w:r>
          </w:p>
        </w:tc>
        <w:tc>
          <w:tcPr>
            <w:tcW w:w="1670" w:type="dxa"/>
            <w:tcBorders>
              <w:top w:val="single" w:color="auto" w:sz="8" w:space="0"/>
              <w:left w:val="nil"/>
              <w:bottom w:val="single" w:color="auto" w:sz="8" w:space="0"/>
              <w:right w:val="single" w:color="auto" w:sz="8" w:space="0"/>
            </w:tcBorders>
          </w:tcPr>
          <w:p w14:paraId="28939D55">
            <w:pPr>
              <w:widowControl/>
              <w:adjustRightInd/>
              <w:spacing w:line="240" w:lineRule="auto"/>
              <w:jc w:val="center"/>
              <w:rPr>
                <w:rFonts w:ascii="宋体" w:hAnsi="宋体" w:cs="Arial"/>
                <w:color w:val="000000" w:themeColor="text1"/>
                <w:kern w:val="0"/>
                <w:sz w:val="18"/>
                <w:szCs w:val="18"/>
                <w14:textFill>
                  <w14:solidFill>
                    <w14:schemeClr w14:val="tx1"/>
                  </w14:solidFill>
                </w14:textFill>
              </w:rPr>
            </w:pPr>
            <w:r>
              <w:rPr>
                <w:rFonts w:hint="eastAsia" w:ascii="宋体" w:hAnsi="宋体" w:cs="Arial"/>
                <w:color w:val="000000" w:themeColor="text1"/>
                <w:kern w:val="0"/>
                <w:sz w:val="18"/>
                <w:szCs w:val="18"/>
                <w14:textFill>
                  <w14:solidFill>
                    <w14:schemeClr w14:val="tx1"/>
                  </w14:solidFill>
                </w14:textFill>
              </w:rPr>
              <w:t>档案开放控制属性</w:t>
            </w:r>
          </w:p>
        </w:tc>
        <w:tc>
          <w:tcPr>
            <w:tcW w:w="699" w:type="dxa"/>
            <w:tcBorders>
              <w:top w:val="single" w:color="auto" w:sz="8" w:space="0"/>
              <w:left w:val="nil"/>
              <w:bottom w:val="single" w:color="auto" w:sz="8" w:space="0"/>
              <w:right w:val="single" w:color="auto" w:sz="8" w:space="0"/>
            </w:tcBorders>
          </w:tcPr>
          <w:p w14:paraId="109BE8B6">
            <w:pPr>
              <w:widowControl/>
              <w:adjustRightInd/>
              <w:spacing w:line="240" w:lineRule="auto"/>
              <w:jc w:val="center"/>
              <w:rPr>
                <w:rFonts w:ascii="宋体" w:hAnsi="宋体" w:cs="Arial"/>
                <w:color w:val="000000" w:themeColor="text1"/>
                <w:kern w:val="0"/>
                <w:sz w:val="18"/>
                <w:szCs w:val="18"/>
                <w14:textFill>
                  <w14:solidFill>
                    <w14:schemeClr w14:val="tx1"/>
                  </w14:solidFill>
                </w14:textFill>
              </w:rPr>
            </w:pPr>
            <w:r>
              <w:rPr>
                <w:rFonts w:hint="eastAsia" w:ascii="宋体" w:hAnsi="宋体" w:cs="Arial"/>
                <w:color w:val="000000" w:themeColor="text1"/>
                <w:kern w:val="0"/>
                <w:sz w:val="18"/>
                <w:szCs w:val="18"/>
                <w14:textFill>
                  <w14:solidFill>
                    <w14:schemeClr w14:val="tx1"/>
                  </w14:solidFill>
                </w14:textFill>
              </w:rPr>
              <w:t>备注</w:t>
            </w:r>
          </w:p>
        </w:tc>
      </w:tr>
      <w:tr w14:paraId="570DC3F7">
        <w:tblPrEx>
          <w:tblCellMar>
            <w:top w:w="0" w:type="dxa"/>
            <w:left w:w="108" w:type="dxa"/>
            <w:bottom w:w="0" w:type="dxa"/>
            <w:right w:w="108" w:type="dxa"/>
          </w:tblCellMar>
        </w:tblPrEx>
        <w:trPr>
          <w:trHeight w:val="20" w:hRule="atLeast"/>
        </w:trPr>
        <w:tc>
          <w:tcPr>
            <w:tcW w:w="1181" w:type="dxa"/>
            <w:vMerge w:val="restart"/>
            <w:tcBorders>
              <w:top w:val="nil"/>
              <w:left w:val="single" w:color="auto" w:sz="8" w:space="0"/>
              <w:right w:val="single" w:color="auto" w:sz="8" w:space="0"/>
            </w:tcBorders>
            <w:shd w:val="clear" w:color="auto" w:fill="auto"/>
            <w:noWrap/>
            <w:vAlign w:val="center"/>
          </w:tcPr>
          <w:p w14:paraId="18E27CF0">
            <w:pPr>
              <w:widowControl/>
              <w:adjustRightInd/>
              <w:spacing w:line="240" w:lineRule="auto"/>
              <w:jc w:val="center"/>
              <w:rPr>
                <w:rFonts w:ascii="宋体" w:hAnsi="宋体" w:cs="Arial"/>
                <w:color w:val="000000" w:themeColor="text1"/>
                <w:kern w:val="0"/>
                <w:sz w:val="18"/>
                <w:szCs w:val="18"/>
                <w14:textFill>
                  <w14:solidFill>
                    <w14:schemeClr w14:val="tx1"/>
                  </w14:solidFill>
                </w14:textFill>
              </w:rPr>
            </w:pPr>
          </w:p>
        </w:tc>
        <w:tc>
          <w:tcPr>
            <w:tcW w:w="1276" w:type="dxa"/>
            <w:vMerge w:val="restart"/>
            <w:tcBorders>
              <w:top w:val="nil"/>
              <w:left w:val="single" w:color="auto" w:sz="8" w:space="0"/>
              <w:right w:val="single" w:color="auto" w:sz="8" w:space="0"/>
            </w:tcBorders>
            <w:shd w:val="clear" w:color="auto" w:fill="auto"/>
            <w:vAlign w:val="center"/>
          </w:tcPr>
          <w:p w14:paraId="41067798">
            <w:pPr>
              <w:widowControl/>
              <w:adjustRightInd/>
              <w:spacing w:line="240" w:lineRule="auto"/>
              <w:jc w:val="center"/>
              <w:rPr>
                <w:rFonts w:ascii="宋体" w:hAnsi="宋体" w:cs="Arial"/>
                <w:color w:val="000000" w:themeColor="text1"/>
                <w:kern w:val="0"/>
                <w:sz w:val="18"/>
                <w:szCs w:val="18"/>
                <w14:textFill>
                  <w14:solidFill>
                    <w14:schemeClr w14:val="tx1"/>
                  </w14:solidFill>
                </w14:textFill>
              </w:rPr>
            </w:pPr>
          </w:p>
        </w:tc>
        <w:tc>
          <w:tcPr>
            <w:tcW w:w="1275" w:type="dxa"/>
            <w:vMerge w:val="restart"/>
            <w:tcBorders>
              <w:top w:val="nil"/>
              <w:left w:val="single" w:color="auto" w:sz="8" w:space="0"/>
              <w:right w:val="single" w:color="auto" w:sz="8" w:space="0"/>
            </w:tcBorders>
            <w:shd w:val="clear" w:color="auto" w:fill="auto"/>
            <w:noWrap/>
            <w:vAlign w:val="center"/>
          </w:tcPr>
          <w:p w14:paraId="7EE7E495">
            <w:pPr>
              <w:widowControl/>
              <w:adjustRightInd/>
              <w:spacing w:line="240" w:lineRule="auto"/>
              <w:jc w:val="center"/>
              <w:rPr>
                <w:rFonts w:ascii="宋体" w:hAnsi="宋体" w:cs="Arial"/>
                <w:color w:val="000000" w:themeColor="text1"/>
                <w:kern w:val="0"/>
                <w:sz w:val="18"/>
                <w:szCs w:val="18"/>
                <w14:textFill>
                  <w14:solidFill>
                    <w14:schemeClr w14:val="tx1"/>
                  </w14:solidFill>
                </w14:textFill>
              </w:rPr>
            </w:pPr>
          </w:p>
        </w:tc>
        <w:tc>
          <w:tcPr>
            <w:tcW w:w="3402" w:type="dxa"/>
            <w:tcBorders>
              <w:top w:val="nil"/>
              <w:left w:val="nil"/>
              <w:bottom w:val="single" w:color="auto" w:sz="8" w:space="0"/>
              <w:right w:val="single" w:color="auto" w:sz="8" w:space="0"/>
            </w:tcBorders>
            <w:shd w:val="clear" w:color="auto" w:fill="auto"/>
            <w:noWrap/>
            <w:vAlign w:val="center"/>
          </w:tcPr>
          <w:p w14:paraId="071FF867">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c>
          <w:tcPr>
            <w:tcW w:w="1276" w:type="dxa"/>
            <w:vMerge w:val="restart"/>
            <w:tcBorders>
              <w:top w:val="nil"/>
              <w:left w:val="single" w:color="auto" w:sz="8" w:space="0"/>
              <w:right w:val="single" w:color="auto" w:sz="8" w:space="0"/>
            </w:tcBorders>
            <w:shd w:val="clear" w:color="auto" w:fill="auto"/>
            <w:noWrap/>
            <w:vAlign w:val="center"/>
          </w:tcPr>
          <w:p w14:paraId="39D8F010">
            <w:pPr>
              <w:widowControl/>
              <w:adjustRightInd/>
              <w:spacing w:line="240" w:lineRule="auto"/>
              <w:jc w:val="center"/>
              <w:rPr>
                <w:rFonts w:ascii="宋体" w:hAnsi="宋体" w:cs="Arial"/>
                <w:color w:val="000000" w:themeColor="text1"/>
                <w:kern w:val="0"/>
                <w:sz w:val="18"/>
                <w:szCs w:val="18"/>
                <w14:textFill>
                  <w14:solidFill>
                    <w14:schemeClr w14:val="tx1"/>
                  </w14:solidFill>
                </w14:textFill>
              </w:rPr>
            </w:pPr>
          </w:p>
        </w:tc>
        <w:tc>
          <w:tcPr>
            <w:tcW w:w="1559" w:type="dxa"/>
            <w:vMerge w:val="restart"/>
            <w:tcBorders>
              <w:top w:val="nil"/>
              <w:left w:val="single" w:color="auto" w:sz="8" w:space="0"/>
              <w:right w:val="single" w:color="auto" w:sz="8" w:space="0"/>
            </w:tcBorders>
          </w:tcPr>
          <w:p w14:paraId="0879D3C3">
            <w:pPr>
              <w:widowControl/>
              <w:adjustRightInd/>
              <w:spacing w:line="240" w:lineRule="auto"/>
              <w:jc w:val="center"/>
              <w:rPr>
                <w:rFonts w:ascii="宋体" w:hAnsi="宋体" w:cs="Arial"/>
                <w:color w:val="000000" w:themeColor="text1"/>
                <w:kern w:val="0"/>
                <w:sz w:val="18"/>
                <w:szCs w:val="18"/>
                <w14:textFill>
                  <w14:solidFill>
                    <w14:schemeClr w14:val="tx1"/>
                  </w14:solidFill>
                </w14:textFill>
              </w:rPr>
            </w:pPr>
          </w:p>
        </w:tc>
        <w:tc>
          <w:tcPr>
            <w:tcW w:w="1418" w:type="dxa"/>
            <w:vMerge w:val="restart"/>
            <w:tcBorders>
              <w:top w:val="nil"/>
              <w:left w:val="single" w:color="auto" w:sz="8" w:space="0"/>
              <w:right w:val="single" w:color="auto" w:sz="8" w:space="0"/>
            </w:tcBorders>
          </w:tcPr>
          <w:p w14:paraId="05FE8EBB">
            <w:pPr>
              <w:widowControl/>
              <w:adjustRightInd/>
              <w:spacing w:line="240" w:lineRule="auto"/>
              <w:jc w:val="center"/>
              <w:rPr>
                <w:rFonts w:ascii="宋体" w:hAnsi="宋体" w:cs="Arial"/>
                <w:color w:val="000000" w:themeColor="text1"/>
                <w:kern w:val="0"/>
                <w:sz w:val="18"/>
                <w:szCs w:val="18"/>
                <w14:textFill>
                  <w14:solidFill>
                    <w14:schemeClr w14:val="tx1"/>
                  </w14:solidFill>
                </w14:textFill>
              </w:rPr>
            </w:pPr>
          </w:p>
        </w:tc>
        <w:tc>
          <w:tcPr>
            <w:tcW w:w="1670" w:type="dxa"/>
            <w:vMerge w:val="restart"/>
            <w:tcBorders>
              <w:top w:val="nil"/>
              <w:left w:val="single" w:color="auto" w:sz="8" w:space="0"/>
              <w:right w:val="single" w:color="auto" w:sz="8" w:space="0"/>
            </w:tcBorders>
          </w:tcPr>
          <w:p w14:paraId="76772D1D">
            <w:pPr>
              <w:widowControl/>
              <w:adjustRightInd/>
              <w:spacing w:line="240" w:lineRule="auto"/>
              <w:jc w:val="center"/>
              <w:rPr>
                <w:rFonts w:ascii="宋体" w:hAnsi="宋体" w:cs="Arial"/>
                <w:color w:val="000000" w:themeColor="text1"/>
                <w:kern w:val="0"/>
                <w:sz w:val="18"/>
                <w:szCs w:val="18"/>
                <w14:textFill>
                  <w14:solidFill>
                    <w14:schemeClr w14:val="tx1"/>
                  </w14:solidFill>
                </w14:textFill>
              </w:rPr>
            </w:pPr>
          </w:p>
        </w:tc>
        <w:tc>
          <w:tcPr>
            <w:tcW w:w="699" w:type="dxa"/>
            <w:tcBorders>
              <w:top w:val="nil"/>
              <w:left w:val="single" w:color="auto" w:sz="8" w:space="0"/>
              <w:bottom w:val="single" w:color="000000" w:sz="8" w:space="0"/>
              <w:right w:val="single" w:color="auto" w:sz="8" w:space="0"/>
            </w:tcBorders>
          </w:tcPr>
          <w:p w14:paraId="10ADE8B7">
            <w:pPr>
              <w:widowControl/>
              <w:adjustRightInd/>
              <w:spacing w:line="240" w:lineRule="auto"/>
              <w:jc w:val="center"/>
              <w:rPr>
                <w:rFonts w:ascii="宋体" w:hAnsi="宋体" w:cs="Arial"/>
                <w:color w:val="000000" w:themeColor="text1"/>
                <w:kern w:val="0"/>
                <w:sz w:val="18"/>
                <w:szCs w:val="18"/>
                <w14:textFill>
                  <w14:solidFill>
                    <w14:schemeClr w14:val="tx1"/>
                  </w14:solidFill>
                </w14:textFill>
              </w:rPr>
            </w:pPr>
          </w:p>
        </w:tc>
      </w:tr>
      <w:tr w14:paraId="0C4E616B">
        <w:tblPrEx>
          <w:tblCellMar>
            <w:top w:w="0" w:type="dxa"/>
            <w:left w:w="108" w:type="dxa"/>
            <w:bottom w:w="0" w:type="dxa"/>
            <w:right w:w="108" w:type="dxa"/>
          </w:tblCellMar>
        </w:tblPrEx>
        <w:trPr>
          <w:trHeight w:val="20" w:hRule="atLeast"/>
        </w:trPr>
        <w:tc>
          <w:tcPr>
            <w:tcW w:w="1181" w:type="dxa"/>
            <w:vMerge w:val="continue"/>
            <w:tcBorders>
              <w:left w:val="single" w:color="auto" w:sz="8" w:space="0"/>
              <w:right w:val="single" w:color="auto" w:sz="8" w:space="0"/>
            </w:tcBorders>
            <w:vAlign w:val="center"/>
          </w:tcPr>
          <w:p w14:paraId="0D7F82EF">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c>
          <w:tcPr>
            <w:tcW w:w="1276" w:type="dxa"/>
            <w:vMerge w:val="continue"/>
            <w:tcBorders>
              <w:left w:val="single" w:color="auto" w:sz="8" w:space="0"/>
              <w:right w:val="single" w:color="auto" w:sz="8" w:space="0"/>
            </w:tcBorders>
            <w:vAlign w:val="center"/>
          </w:tcPr>
          <w:p w14:paraId="34FD8F52">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c>
          <w:tcPr>
            <w:tcW w:w="1275" w:type="dxa"/>
            <w:vMerge w:val="continue"/>
            <w:tcBorders>
              <w:left w:val="single" w:color="auto" w:sz="8" w:space="0"/>
              <w:right w:val="single" w:color="auto" w:sz="8" w:space="0"/>
            </w:tcBorders>
            <w:shd w:val="clear" w:color="auto" w:fill="auto"/>
            <w:vAlign w:val="center"/>
          </w:tcPr>
          <w:p w14:paraId="27CCE867">
            <w:pPr>
              <w:widowControl/>
              <w:adjustRightInd/>
              <w:spacing w:line="240" w:lineRule="auto"/>
              <w:jc w:val="center"/>
              <w:rPr>
                <w:rFonts w:ascii="宋体" w:hAnsi="宋体" w:cs="Arial"/>
                <w:color w:val="000000" w:themeColor="text1"/>
                <w:kern w:val="0"/>
                <w:sz w:val="18"/>
                <w:szCs w:val="18"/>
                <w14:textFill>
                  <w14:solidFill>
                    <w14:schemeClr w14:val="tx1"/>
                  </w14:solidFill>
                </w14:textFill>
              </w:rPr>
            </w:pPr>
          </w:p>
        </w:tc>
        <w:tc>
          <w:tcPr>
            <w:tcW w:w="3402" w:type="dxa"/>
            <w:tcBorders>
              <w:top w:val="nil"/>
              <w:left w:val="nil"/>
              <w:bottom w:val="single" w:color="auto" w:sz="8" w:space="0"/>
              <w:right w:val="single" w:color="auto" w:sz="8" w:space="0"/>
            </w:tcBorders>
            <w:shd w:val="clear" w:color="auto" w:fill="auto"/>
            <w:noWrap/>
            <w:vAlign w:val="center"/>
          </w:tcPr>
          <w:p w14:paraId="73F9B0C8">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c>
          <w:tcPr>
            <w:tcW w:w="1276" w:type="dxa"/>
            <w:vMerge w:val="continue"/>
            <w:tcBorders>
              <w:left w:val="single" w:color="auto" w:sz="8" w:space="0"/>
              <w:right w:val="single" w:color="auto" w:sz="8" w:space="0"/>
            </w:tcBorders>
            <w:vAlign w:val="center"/>
          </w:tcPr>
          <w:p w14:paraId="141BA0DC">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c>
          <w:tcPr>
            <w:tcW w:w="1559" w:type="dxa"/>
            <w:vMerge w:val="continue"/>
            <w:tcBorders>
              <w:left w:val="single" w:color="auto" w:sz="8" w:space="0"/>
              <w:right w:val="single" w:color="auto" w:sz="8" w:space="0"/>
            </w:tcBorders>
          </w:tcPr>
          <w:p w14:paraId="5D25EAC2">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c>
          <w:tcPr>
            <w:tcW w:w="1418" w:type="dxa"/>
            <w:vMerge w:val="continue"/>
            <w:tcBorders>
              <w:left w:val="single" w:color="auto" w:sz="8" w:space="0"/>
              <w:right w:val="single" w:color="auto" w:sz="8" w:space="0"/>
            </w:tcBorders>
          </w:tcPr>
          <w:p w14:paraId="327081B6">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c>
          <w:tcPr>
            <w:tcW w:w="1670" w:type="dxa"/>
            <w:vMerge w:val="continue"/>
            <w:tcBorders>
              <w:left w:val="single" w:color="auto" w:sz="8" w:space="0"/>
              <w:right w:val="single" w:color="auto" w:sz="8" w:space="0"/>
            </w:tcBorders>
          </w:tcPr>
          <w:p w14:paraId="542CE78E">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c>
          <w:tcPr>
            <w:tcW w:w="699" w:type="dxa"/>
            <w:tcBorders>
              <w:top w:val="nil"/>
              <w:left w:val="single" w:color="auto" w:sz="8" w:space="0"/>
              <w:bottom w:val="single" w:color="000000" w:sz="8" w:space="0"/>
              <w:right w:val="single" w:color="auto" w:sz="8" w:space="0"/>
            </w:tcBorders>
          </w:tcPr>
          <w:p w14:paraId="50A3B00B">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r>
      <w:tr w14:paraId="15FF3060">
        <w:tblPrEx>
          <w:tblCellMar>
            <w:top w:w="0" w:type="dxa"/>
            <w:left w:w="108" w:type="dxa"/>
            <w:bottom w:w="0" w:type="dxa"/>
            <w:right w:w="108" w:type="dxa"/>
          </w:tblCellMar>
        </w:tblPrEx>
        <w:trPr>
          <w:trHeight w:val="20" w:hRule="atLeast"/>
        </w:trPr>
        <w:tc>
          <w:tcPr>
            <w:tcW w:w="1181" w:type="dxa"/>
            <w:vMerge w:val="continue"/>
            <w:tcBorders>
              <w:left w:val="single" w:color="auto" w:sz="8" w:space="0"/>
              <w:right w:val="single" w:color="auto" w:sz="8" w:space="0"/>
            </w:tcBorders>
            <w:vAlign w:val="center"/>
          </w:tcPr>
          <w:p w14:paraId="61E3D28F">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c>
          <w:tcPr>
            <w:tcW w:w="1276" w:type="dxa"/>
            <w:vMerge w:val="continue"/>
            <w:tcBorders>
              <w:left w:val="single" w:color="auto" w:sz="8" w:space="0"/>
              <w:right w:val="single" w:color="auto" w:sz="8" w:space="0"/>
            </w:tcBorders>
            <w:vAlign w:val="center"/>
          </w:tcPr>
          <w:p w14:paraId="77FA4F89">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c>
          <w:tcPr>
            <w:tcW w:w="1275" w:type="dxa"/>
            <w:vMerge w:val="continue"/>
            <w:tcBorders>
              <w:left w:val="single" w:color="auto" w:sz="8" w:space="0"/>
              <w:right w:val="single" w:color="auto" w:sz="8" w:space="0"/>
            </w:tcBorders>
            <w:shd w:val="clear" w:color="auto" w:fill="auto"/>
            <w:vAlign w:val="center"/>
          </w:tcPr>
          <w:p w14:paraId="6D0A77D1">
            <w:pPr>
              <w:widowControl/>
              <w:adjustRightInd/>
              <w:spacing w:line="240" w:lineRule="auto"/>
              <w:jc w:val="center"/>
              <w:rPr>
                <w:rFonts w:ascii="宋体" w:hAnsi="宋体" w:cs="Arial"/>
                <w:color w:val="000000" w:themeColor="text1"/>
                <w:kern w:val="0"/>
                <w:sz w:val="18"/>
                <w:szCs w:val="18"/>
                <w14:textFill>
                  <w14:solidFill>
                    <w14:schemeClr w14:val="tx1"/>
                  </w14:solidFill>
                </w14:textFill>
              </w:rPr>
            </w:pPr>
          </w:p>
        </w:tc>
        <w:tc>
          <w:tcPr>
            <w:tcW w:w="3402" w:type="dxa"/>
            <w:tcBorders>
              <w:top w:val="nil"/>
              <w:left w:val="nil"/>
              <w:bottom w:val="single" w:color="auto" w:sz="8" w:space="0"/>
              <w:right w:val="single" w:color="auto" w:sz="8" w:space="0"/>
            </w:tcBorders>
            <w:shd w:val="clear" w:color="auto" w:fill="auto"/>
            <w:noWrap/>
            <w:vAlign w:val="center"/>
          </w:tcPr>
          <w:p w14:paraId="07D6C5AB">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c>
          <w:tcPr>
            <w:tcW w:w="1276" w:type="dxa"/>
            <w:vMerge w:val="continue"/>
            <w:tcBorders>
              <w:left w:val="single" w:color="auto" w:sz="8" w:space="0"/>
              <w:right w:val="single" w:color="auto" w:sz="8" w:space="0"/>
            </w:tcBorders>
            <w:vAlign w:val="center"/>
          </w:tcPr>
          <w:p w14:paraId="7406383E">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c>
          <w:tcPr>
            <w:tcW w:w="1559" w:type="dxa"/>
            <w:vMerge w:val="continue"/>
            <w:tcBorders>
              <w:left w:val="single" w:color="auto" w:sz="8" w:space="0"/>
              <w:right w:val="single" w:color="auto" w:sz="8" w:space="0"/>
            </w:tcBorders>
          </w:tcPr>
          <w:p w14:paraId="680901D6">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c>
          <w:tcPr>
            <w:tcW w:w="1418" w:type="dxa"/>
            <w:vMerge w:val="continue"/>
            <w:tcBorders>
              <w:left w:val="single" w:color="auto" w:sz="8" w:space="0"/>
              <w:right w:val="single" w:color="auto" w:sz="8" w:space="0"/>
            </w:tcBorders>
          </w:tcPr>
          <w:p w14:paraId="4C7E5411">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c>
          <w:tcPr>
            <w:tcW w:w="1670" w:type="dxa"/>
            <w:vMerge w:val="continue"/>
            <w:tcBorders>
              <w:left w:val="single" w:color="auto" w:sz="8" w:space="0"/>
              <w:right w:val="single" w:color="auto" w:sz="8" w:space="0"/>
            </w:tcBorders>
          </w:tcPr>
          <w:p w14:paraId="77B84D2D">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c>
          <w:tcPr>
            <w:tcW w:w="699" w:type="dxa"/>
            <w:tcBorders>
              <w:top w:val="nil"/>
              <w:left w:val="single" w:color="auto" w:sz="8" w:space="0"/>
              <w:bottom w:val="single" w:color="000000" w:sz="8" w:space="0"/>
              <w:right w:val="single" w:color="auto" w:sz="8" w:space="0"/>
            </w:tcBorders>
          </w:tcPr>
          <w:p w14:paraId="48AE1F22">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r>
      <w:tr w14:paraId="1E5E9F59">
        <w:tblPrEx>
          <w:tblCellMar>
            <w:top w:w="0" w:type="dxa"/>
            <w:left w:w="108" w:type="dxa"/>
            <w:bottom w:w="0" w:type="dxa"/>
            <w:right w:w="108" w:type="dxa"/>
          </w:tblCellMar>
        </w:tblPrEx>
        <w:trPr>
          <w:trHeight w:val="20" w:hRule="atLeast"/>
        </w:trPr>
        <w:tc>
          <w:tcPr>
            <w:tcW w:w="1181" w:type="dxa"/>
            <w:vMerge w:val="continue"/>
            <w:tcBorders>
              <w:left w:val="single" w:color="auto" w:sz="8" w:space="0"/>
              <w:right w:val="single" w:color="auto" w:sz="8" w:space="0"/>
            </w:tcBorders>
            <w:vAlign w:val="center"/>
          </w:tcPr>
          <w:p w14:paraId="01F7FB7A">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c>
          <w:tcPr>
            <w:tcW w:w="1276" w:type="dxa"/>
            <w:vMerge w:val="continue"/>
            <w:tcBorders>
              <w:left w:val="single" w:color="auto" w:sz="8" w:space="0"/>
              <w:right w:val="single" w:color="auto" w:sz="8" w:space="0"/>
            </w:tcBorders>
            <w:vAlign w:val="center"/>
          </w:tcPr>
          <w:p w14:paraId="24B4BF83">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c>
          <w:tcPr>
            <w:tcW w:w="1275" w:type="dxa"/>
            <w:vMerge w:val="continue"/>
            <w:tcBorders>
              <w:left w:val="single" w:color="auto" w:sz="8" w:space="0"/>
              <w:right w:val="single" w:color="auto" w:sz="8" w:space="0"/>
            </w:tcBorders>
            <w:shd w:val="clear" w:color="auto" w:fill="auto"/>
            <w:noWrap/>
            <w:vAlign w:val="center"/>
          </w:tcPr>
          <w:p w14:paraId="43F43517">
            <w:pPr>
              <w:widowControl/>
              <w:adjustRightInd/>
              <w:spacing w:line="240" w:lineRule="auto"/>
              <w:jc w:val="center"/>
              <w:rPr>
                <w:rFonts w:ascii="宋体" w:hAnsi="宋体" w:cs="Arial"/>
                <w:color w:val="000000" w:themeColor="text1"/>
                <w:kern w:val="0"/>
                <w:sz w:val="18"/>
                <w:szCs w:val="18"/>
                <w14:textFill>
                  <w14:solidFill>
                    <w14:schemeClr w14:val="tx1"/>
                  </w14:solidFill>
                </w14:textFill>
              </w:rPr>
            </w:pPr>
          </w:p>
        </w:tc>
        <w:tc>
          <w:tcPr>
            <w:tcW w:w="3402" w:type="dxa"/>
            <w:tcBorders>
              <w:top w:val="nil"/>
              <w:left w:val="nil"/>
              <w:bottom w:val="single" w:color="auto" w:sz="8" w:space="0"/>
              <w:right w:val="single" w:color="auto" w:sz="8" w:space="0"/>
            </w:tcBorders>
            <w:shd w:val="clear" w:color="auto" w:fill="auto"/>
            <w:noWrap/>
            <w:vAlign w:val="center"/>
          </w:tcPr>
          <w:p w14:paraId="18F3F29C">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c>
          <w:tcPr>
            <w:tcW w:w="1276" w:type="dxa"/>
            <w:vMerge w:val="continue"/>
            <w:tcBorders>
              <w:left w:val="single" w:color="auto" w:sz="8" w:space="0"/>
              <w:right w:val="single" w:color="auto" w:sz="8" w:space="0"/>
            </w:tcBorders>
            <w:vAlign w:val="center"/>
          </w:tcPr>
          <w:p w14:paraId="141A1CD1">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c>
          <w:tcPr>
            <w:tcW w:w="1559" w:type="dxa"/>
            <w:vMerge w:val="continue"/>
            <w:tcBorders>
              <w:left w:val="single" w:color="auto" w:sz="8" w:space="0"/>
              <w:right w:val="single" w:color="auto" w:sz="8" w:space="0"/>
            </w:tcBorders>
          </w:tcPr>
          <w:p w14:paraId="7DF00892">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c>
          <w:tcPr>
            <w:tcW w:w="1418" w:type="dxa"/>
            <w:vMerge w:val="continue"/>
            <w:tcBorders>
              <w:left w:val="single" w:color="auto" w:sz="8" w:space="0"/>
              <w:right w:val="single" w:color="auto" w:sz="8" w:space="0"/>
            </w:tcBorders>
          </w:tcPr>
          <w:p w14:paraId="0BA2C000">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c>
          <w:tcPr>
            <w:tcW w:w="1670" w:type="dxa"/>
            <w:vMerge w:val="continue"/>
            <w:tcBorders>
              <w:left w:val="single" w:color="auto" w:sz="8" w:space="0"/>
              <w:right w:val="single" w:color="auto" w:sz="8" w:space="0"/>
            </w:tcBorders>
          </w:tcPr>
          <w:p w14:paraId="314460ED">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c>
          <w:tcPr>
            <w:tcW w:w="699" w:type="dxa"/>
            <w:tcBorders>
              <w:top w:val="nil"/>
              <w:left w:val="single" w:color="auto" w:sz="8" w:space="0"/>
              <w:bottom w:val="single" w:color="000000" w:sz="8" w:space="0"/>
              <w:right w:val="single" w:color="auto" w:sz="8" w:space="0"/>
            </w:tcBorders>
          </w:tcPr>
          <w:p w14:paraId="049BA782">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r>
      <w:tr w14:paraId="0B92CF78">
        <w:tblPrEx>
          <w:tblCellMar>
            <w:top w:w="0" w:type="dxa"/>
            <w:left w:w="108" w:type="dxa"/>
            <w:bottom w:w="0" w:type="dxa"/>
            <w:right w:w="108" w:type="dxa"/>
          </w:tblCellMar>
        </w:tblPrEx>
        <w:trPr>
          <w:trHeight w:val="20" w:hRule="atLeast"/>
        </w:trPr>
        <w:tc>
          <w:tcPr>
            <w:tcW w:w="1181" w:type="dxa"/>
            <w:vMerge w:val="continue"/>
            <w:tcBorders>
              <w:left w:val="single" w:color="auto" w:sz="8" w:space="0"/>
              <w:right w:val="single" w:color="auto" w:sz="8" w:space="0"/>
            </w:tcBorders>
            <w:vAlign w:val="center"/>
          </w:tcPr>
          <w:p w14:paraId="4C83A65B">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c>
          <w:tcPr>
            <w:tcW w:w="1276" w:type="dxa"/>
            <w:vMerge w:val="continue"/>
            <w:tcBorders>
              <w:left w:val="single" w:color="auto" w:sz="8" w:space="0"/>
              <w:right w:val="single" w:color="auto" w:sz="8" w:space="0"/>
            </w:tcBorders>
            <w:vAlign w:val="center"/>
          </w:tcPr>
          <w:p w14:paraId="60736E7A">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c>
          <w:tcPr>
            <w:tcW w:w="1275" w:type="dxa"/>
            <w:vMerge w:val="continue"/>
            <w:tcBorders>
              <w:left w:val="single" w:color="auto" w:sz="8" w:space="0"/>
              <w:bottom w:val="single" w:color="auto" w:sz="8" w:space="0"/>
              <w:right w:val="single" w:color="auto" w:sz="8" w:space="0"/>
            </w:tcBorders>
            <w:shd w:val="clear" w:color="auto" w:fill="auto"/>
            <w:noWrap/>
            <w:vAlign w:val="center"/>
          </w:tcPr>
          <w:p w14:paraId="1808E15C">
            <w:pPr>
              <w:widowControl/>
              <w:adjustRightInd/>
              <w:spacing w:line="240" w:lineRule="auto"/>
              <w:jc w:val="center"/>
              <w:rPr>
                <w:rFonts w:ascii="宋体" w:hAnsi="宋体" w:cs="Arial"/>
                <w:color w:val="000000" w:themeColor="text1"/>
                <w:kern w:val="0"/>
                <w:sz w:val="18"/>
                <w:szCs w:val="18"/>
                <w14:textFill>
                  <w14:solidFill>
                    <w14:schemeClr w14:val="tx1"/>
                  </w14:solidFill>
                </w14:textFill>
              </w:rPr>
            </w:pPr>
          </w:p>
        </w:tc>
        <w:tc>
          <w:tcPr>
            <w:tcW w:w="3402" w:type="dxa"/>
            <w:tcBorders>
              <w:top w:val="nil"/>
              <w:left w:val="nil"/>
              <w:bottom w:val="single" w:color="auto" w:sz="8" w:space="0"/>
              <w:right w:val="single" w:color="auto" w:sz="8" w:space="0"/>
            </w:tcBorders>
            <w:shd w:val="clear" w:color="auto" w:fill="auto"/>
            <w:noWrap/>
            <w:vAlign w:val="center"/>
          </w:tcPr>
          <w:p w14:paraId="6A0AA2E1">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c>
          <w:tcPr>
            <w:tcW w:w="1276" w:type="dxa"/>
            <w:vMerge w:val="continue"/>
            <w:tcBorders>
              <w:left w:val="single" w:color="auto" w:sz="8" w:space="0"/>
              <w:right w:val="single" w:color="auto" w:sz="8" w:space="0"/>
            </w:tcBorders>
            <w:vAlign w:val="center"/>
          </w:tcPr>
          <w:p w14:paraId="2005828C">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c>
          <w:tcPr>
            <w:tcW w:w="1559" w:type="dxa"/>
            <w:vMerge w:val="continue"/>
            <w:tcBorders>
              <w:left w:val="single" w:color="auto" w:sz="8" w:space="0"/>
              <w:bottom w:val="single" w:color="000000" w:sz="8" w:space="0"/>
              <w:right w:val="single" w:color="auto" w:sz="8" w:space="0"/>
            </w:tcBorders>
          </w:tcPr>
          <w:p w14:paraId="30F4B99A">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c>
          <w:tcPr>
            <w:tcW w:w="1418" w:type="dxa"/>
            <w:vMerge w:val="continue"/>
            <w:tcBorders>
              <w:left w:val="single" w:color="auto" w:sz="8" w:space="0"/>
              <w:right w:val="single" w:color="auto" w:sz="8" w:space="0"/>
            </w:tcBorders>
          </w:tcPr>
          <w:p w14:paraId="4C1A0D56">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c>
          <w:tcPr>
            <w:tcW w:w="1670" w:type="dxa"/>
            <w:vMerge w:val="continue"/>
            <w:tcBorders>
              <w:left w:val="single" w:color="auto" w:sz="8" w:space="0"/>
              <w:bottom w:val="single" w:color="000000" w:sz="8" w:space="0"/>
              <w:right w:val="single" w:color="auto" w:sz="8" w:space="0"/>
            </w:tcBorders>
          </w:tcPr>
          <w:p w14:paraId="4CDB65E9">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c>
          <w:tcPr>
            <w:tcW w:w="699" w:type="dxa"/>
            <w:tcBorders>
              <w:top w:val="nil"/>
              <w:left w:val="single" w:color="auto" w:sz="8" w:space="0"/>
              <w:bottom w:val="single" w:color="000000" w:sz="8" w:space="0"/>
              <w:right w:val="single" w:color="auto" w:sz="8" w:space="0"/>
            </w:tcBorders>
          </w:tcPr>
          <w:p w14:paraId="1F4A33E7">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r>
      <w:tr w14:paraId="1AC906F9">
        <w:tblPrEx>
          <w:tblCellMar>
            <w:top w:w="0" w:type="dxa"/>
            <w:left w:w="108" w:type="dxa"/>
            <w:bottom w:w="0" w:type="dxa"/>
            <w:right w:w="108" w:type="dxa"/>
          </w:tblCellMar>
        </w:tblPrEx>
        <w:trPr>
          <w:trHeight w:val="20" w:hRule="atLeast"/>
        </w:trPr>
        <w:tc>
          <w:tcPr>
            <w:tcW w:w="1181" w:type="dxa"/>
            <w:vMerge w:val="continue"/>
            <w:tcBorders>
              <w:left w:val="single" w:color="auto" w:sz="8" w:space="0"/>
              <w:right w:val="single" w:color="auto" w:sz="8" w:space="0"/>
            </w:tcBorders>
            <w:shd w:val="clear" w:color="auto" w:fill="auto"/>
            <w:vAlign w:val="center"/>
          </w:tcPr>
          <w:p w14:paraId="27CFF149">
            <w:pPr>
              <w:widowControl/>
              <w:adjustRightInd/>
              <w:spacing w:line="240" w:lineRule="auto"/>
              <w:jc w:val="center"/>
              <w:rPr>
                <w:rFonts w:ascii="宋体" w:hAnsi="宋体" w:cs="Arial"/>
                <w:color w:val="000000" w:themeColor="text1"/>
                <w:kern w:val="0"/>
                <w:sz w:val="18"/>
                <w:szCs w:val="18"/>
                <w14:textFill>
                  <w14:solidFill>
                    <w14:schemeClr w14:val="tx1"/>
                  </w14:solidFill>
                </w14:textFill>
              </w:rPr>
            </w:pPr>
          </w:p>
        </w:tc>
        <w:tc>
          <w:tcPr>
            <w:tcW w:w="1276" w:type="dxa"/>
            <w:vMerge w:val="continue"/>
            <w:tcBorders>
              <w:left w:val="single" w:color="auto" w:sz="8" w:space="0"/>
              <w:right w:val="single" w:color="auto" w:sz="8" w:space="0"/>
            </w:tcBorders>
            <w:shd w:val="clear" w:color="auto" w:fill="auto"/>
            <w:vAlign w:val="center"/>
          </w:tcPr>
          <w:p w14:paraId="012254A4">
            <w:pPr>
              <w:widowControl/>
              <w:adjustRightInd/>
              <w:spacing w:line="240" w:lineRule="auto"/>
              <w:jc w:val="center"/>
              <w:rPr>
                <w:rFonts w:ascii="宋体" w:hAnsi="宋体" w:cs="Arial"/>
                <w:color w:val="000000" w:themeColor="text1"/>
                <w:kern w:val="0"/>
                <w:sz w:val="18"/>
                <w:szCs w:val="18"/>
                <w14:textFill>
                  <w14:solidFill>
                    <w14:schemeClr w14:val="tx1"/>
                  </w14:solidFill>
                </w14:textFill>
              </w:rPr>
            </w:pPr>
          </w:p>
        </w:tc>
        <w:tc>
          <w:tcPr>
            <w:tcW w:w="1275" w:type="dxa"/>
            <w:vMerge w:val="restart"/>
            <w:tcBorders>
              <w:top w:val="nil"/>
              <w:left w:val="single" w:color="auto" w:sz="8" w:space="0"/>
              <w:right w:val="single" w:color="auto" w:sz="8" w:space="0"/>
            </w:tcBorders>
            <w:shd w:val="clear" w:color="auto" w:fill="auto"/>
            <w:noWrap/>
            <w:vAlign w:val="center"/>
          </w:tcPr>
          <w:p w14:paraId="182ECA80">
            <w:pPr>
              <w:widowControl/>
              <w:adjustRightInd/>
              <w:spacing w:line="240" w:lineRule="auto"/>
              <w:jc w:val="center"/>
              <w:rPr>
                <w:rFonts w:ascii="宋体" w:hAnsi="宋体" w:cs="Arial"/>
                <w:color w:val="000000" w:themeColor="text1"/>
                <w:kern w:val="0"/>
                <w:sz w:val="18"/>
                <w:szCs w:val="18"/>
                <w14:textFill>
                  <w14:solidFill>
                    <w14:schemeClr w14:val="tx1"/>
                  </w14:solidFill>
                </w14:textFill>
              </w:rPr>
            </w:pPr>
          </w:p>
        </w:tc>
        <w:tc>
          <w:tcPr>
            <w:tcW w:w="3402" w:type="dxa"/>
            <w:tcBorders>
              <w:top w:val="nil"/>
              <w:left w:val="nil"/>
              <w:bottom w:val="single" w:color="auto" w:sz="8" w:space="0"/>
              <w:right w:val="single" w:color="auto" w:sz="8" w:space="0"/>
            </w:tcBorders>
            <w:shd w:val="clear" w:color="auto" w:fill="auto"/>
            <w:noWrap/>
            <w:vAlign w:val="center"/>
          </w:tcPr>
          <w:p w14:paraId="3F4A72C2">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c>
          <w:tcPr>
            <w:tcW w:w="1276" w:type="dxa"/>
            <w:vMerge w:val="continue"/>
            <w:tcBorders>
              <w:left w:val="single" w:color="auto" w:sz="8" w:space="0"/>
              <w:right w:val="single" w:color="auto" w:sz="8" w:space="0"/>
            </w:tcBorders>
            <w:shd w:val="clear" w:color="auto" w:fill="auto"/>
            <w:noWrap/>
            <w:vAlign w:val="center"/>
          </w:tcPr>
          <w:p w14:paraId="2A24F300">
            <w:pPr>
              <w:widowControl/>
              <w:adjustRightInd/>
              <w:spacing w:line="240" w:lineRule="auto"/>
              <w:jc w:val="center"/>
              <w:rPr>
                <w:rFonts w:ascii="宋体" w:hAnsi="宋体" w:cs="Arial"/>
                <w:color w:val="000000" w:themeColor="text1"/>
                <w:kern w:val="0"/>
                <w:sz w:val="18"/>
                <w:szCs w:val="18"/>
                <w14:textFill>
                  <w14:solidFill>
                    <w14:schemeClr w14:val="tx1"/>
                  </w14:solidFill>
                </w14:textFill>
              </w:rPr>
            </w:pPr>
          </w:p>
        </w:tc>
        <w:tc>
          <w:tcPr>
            <w:tcW w:w="1559" w:type="dxa"/>
            <w:vMerge w:val="restart"/>
            <w:tcBorders>
              <w:top w:val="nil"/>
              <w:left w:val="single" w:color="auto" w:sz="8" w:space="0"/>
              <w:right w:val="single" w:color="auto" w:sz="8" w:space="0"/>
            </w:tcBorders>
          </w:tcPr>
          <w:p w14:paraId="73719435">
            <w:pPr>
              <w:widowControl/>
              <w:adjustRightInd/>
              <w:spacing w:line="240" w:lineRule="auto"/>
              <w:jc w:val="center"/>
              <w:rPr>
                <w:rFonts w:ascii="宋体" w:hAnsi="宋体" w:cs="Arial"/>
                <w:color w:val="000000" w:themeColor="text1"/>
                <w:kern w:val="0"/>
                <w:sz w:val="18"/>
                <w:szCs w:val="18"/>
                <w14:textFill>
                  <w14:solidFill>
                    <w14:schemeClr w14:val="tx1"/>
                  </w14:solidFill>
                </w14:textFill>
              </w:rPr>
            </w:pPr>
          </w:p>
        </w:tc>
        <w:tc>
          <w:tcPr>
            <w:tcW w:w="1418" w:type="dxa"/>
            <w:vMerge w:val="continue"/>
            <w:tcBorders>
              <w:left w:val="single" w:color="auto" w:sz="8" w:space="0"/>
              <w:right w:val="single" w:color="auto" w:sz="8" w:space="0"/>
            </w:tcBorders>
          </w:tcPr>
          <w:p w14:paraId="6D709985">
            <w:pPr>
              <w:widowControl/>
              <w:adjustRightInd/>
              <w:spacing w:line="240" w:lineRule="auto"/>
              <w:jc w:val="center"/>
              <w:rPr>
                <w:rFonts w:ascii="宋体" w:hAnsi="宋体" w:cs="Arial"/>
                <w:color w:val="000000" w:themeColor="text1"/>
                <w:kern w:val="0"/>
                <w:sz w:val="18"/>
                <w:szCs w:val="18"/>
                <w14:textFill>
                  <w14:solidFill>
                    <w14:schemeClr w14:val="tx1"/>
                  </w14:solidFill>
                </w14:textFill>
              </w:rPr>
            </w:pPr>
          </w:p>
        </w:tc>
        <w:tc>
          <w:tcPr>
            <w:tcW w:w="1670" w:type="dxa"/>
            <w:vMerge w:val="restart"/>
            <w:tcBorders>
              <w:top w:val="nil"/>
              <w:left w:val="single" w:color="auto" w:sz="8" w:space="0"/>
              <w:right w:val="single" w:color="auto" w:sz="8" w:space="0"/>
            </w:tcBorders>
          </w:tcPr>
          <w:p w14:paraId="12F1AA90">
            <w:pPr>
              <w:widowControl/>
              <w:adjustRightInd/>
              <w:spacing w:line="240" w:lineRule="auto"/>
              <w:jc w:val="center"/>
              <w:rPr>
                <w:rFonts w:ascii="宋体" w:hAnsi="宋体" w:cs="Arial"/>
                <w:color w:val="000000" w:themeColor="text1"/>
                <w:kern w:val="0"/>
                <w:sz w:val="18"/>
                <w:szCs w:val="18"/>
                <w14:textFill>
                  <w14:solidFill>
                    <w14:schemeClr w14:val="tx1"/>
                  </w14:solidFill>
                </w14:textFill>
              </w:rPr>
            </w:pPr>
          </w:p>
        </w:tc>
        <w:tc>
          <w:tcPr>
            <w:tcW w:w="699" w:type="dxa"/>
            <w:tcBorders>
              <w:top w:val="nil"/>
              <w:left w:val="single" w:color="auto" w:sz="8" w:space="0"/>
              <w:bottom w:val="single" w:color="000000" w:sz="8" w:space="0"/>
              <w:right w:val="single" w:color="auto" w:sz="8" w:space="0"/>
            </w:tcBorders>
          </w:tcPr>
          <w:p w14:paraId="79DBDCB3">
            <w:pPr>
              <w:widowControl/>
              <w:adjustRightInd/>
              <w:spacing w:line="240" w:lineRule="auto"/>
              <w:jc w:val="center"/>
              <w:rPr>
                <w:rFonts w:ascii="宋体" w:hAnsi="宋体" w:cs="Arial"/>
                <w:color w:val="000000" w:themeColor="text1"/>
                <w:kern w:val="0"/>
                <w:sz w:val="18"/>
                <w:szCs w:val="18"/>
                <w14:textFill>
                  <w14:solidFill>
                    <w14:schemeClr w14:val="tx1"/>
                  </w14:solidFill>
                </w14:textFill>
              </w:rPr>
            </w:pPr>
          </w:p>
        </w:tc>
      </w:tr>
      <w:tr w14:paraId="056BAC15">
        <w:tblPrEx>
          <w:tblCellMar>
            <w:top w:w="0" w:type="dxa"/>
            <w:left w:w="108" w:type="dxa"/>
            <w:bottom w:w="0" w:type="dxa"/>
            <w:right w:w="108" w:type="dxa"/>
          </w:tblCellMar>
        </w:tblPrEx>
        <w:trPr>
          <w:trHeight w:val="20" w:hRule="atLeast"/>
        </w:trPr>
        <w:tc>
          <w:tcPr>
            <w:tcW w:w="1181" w:type="dxa"/>
            <w:vMerge w:val="continue"/>
            <w:tcBorders>
              <w:left w:val="single" w:color="auto" w:sz="8" w:space="0"/>
              <w:right w:val="single" w:color="auto" w:sz="8" w:space="0"/>
            </w:tcBorders>
            <w:vAlign w:val="center"/>
          </w:tcPr>
          <w:p w14:paraId="6F1152D1">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c>
          <w:tcPr>
            <w:tcW w:w="1276" w:type="dxa"/>
            <w:vMerge w:val="continue"/>
            <w:tcBorders>
              <w:left w:val="single" w:color="auto" w:sz="8" w:space="0"/>
              <w:right w:val="single" w:color="auto" w:sz="8" w:space="0"/>
            </w:tcBorders>
            <w:vAlign w:val="center"/>
          </w:tcPr>
          <w:p w14:paraId="0CC0E11B">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c>
          <w:tcPr>
            <w:tcW w:w="1275" w:type="dxa"/>
            <w:vMerge w:val="continue"/>
            <w:tcBorders>
              <w:left w:val="single" w:color="auto" w:sz="8" w:space="0"/>
              <w:right w:val="single" w:color="auto" w:sz="8" w:space="0"/>
            </w:tcBorders>
            <w:shd w:val="clear" w:color="auto" w:fill="auto"/>
            <w:vAlign w:val="center"/>
          </w:tcPr>
          <w:p w14:paraId="0EE954DF">
            <w:pPr>
              <w:widowControl/>
              <w:adjustRightInd/>
              <w:spacing w:line="240" w:lineRule="auto"/>
              <w:jc w:val="center"/>
              <w:rPr>
                <w:rFonts w:ascii="宋体" w:hAnsi="宋体" w:cs="Arial"/>
                <w:color w:val="000000" w:themeColor="text1"/>
                <w:kern w:val="0"/>
                <w:sz w:val="18"/>
                <w:szCs w:val="18"/>
                <w14:textFill>
                  <w14:solidFill>
                    <w14:schemeClr w14:val="tx1"/>
                  </w14:solidFill>
                </w14:textFill>
              </w:rPr>
            </w:pPr>
          </w:p>
        </w:tc>
        <w:tc>
          <w:tcPr>
            <w:tcW w:w="3402" w:type="dxa"/>
            <w:tcBorders>
              <w:top w:val="nil"/>
              <w:left w:val="nil"/>
              <w:bottom w:val="single" w:color="auto" w:sz="8" w:space="0"/>
              <w:right w:val="single" w:color="auto" w:sz="8" w:space="0"/>
            </w:tcBorders>
            <w:shd w:val="clear" w:color="auto" w:fill="auto"/>
            <w:noWrap/>
            <w:vAlign w:val="center"/>
          </w:tcPr>
          <w:p w14:paraId="52F4934D">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c>
          <w:tcPr>
            <w:tcW w:w="1276" w:type="dxa"/>
            <w:vMerge w:val="continue"/>
            <w:tcBorders>
              <w:left w:val="single" w:color="auto" w:sz="8" w:space="0"/>
              <w:right w:val="single" w:color="auto" w:sz="8" w:space="0"/>
            </w:tcBorders>
            <w:vAlign w:val="center"/>
          </w:tcPr>
          <w:p w14:paraId="1E27C364">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c>
          <w:tcPr>
            <w:tcW w:w="1559" w:type="dxa"/>
            <w:vMerge w:val="continue"/>
            <w:tcBorders>
              <w:left w:val="single" w:color="auto" w:sz="8" w:space="0"/>
              <w:right w:val="single" w:color="auto" w:sz="8" w:space="0"/>
            </w:tcBorders>
          </w:tcPr>
          <w:p w14:paraId="202207F3">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c>
          <w:tcPr>
            <w:tcW w:w="1418" w:type="dxa"/>
            <w:vMerge w:val="continue"/>
            <w:tcBorders>
              <w:left w:val="single" w:color="auto" w:sz="8" w:space="0"/>
              <w:right w:val="single" w:color="auto" w:sz="8" w:space="0"/>
            </w:tcBorders>
          </w:tcPr>
          <w:p w14:paraId="22E1B79F">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c>
          <w:tcPr>
            <w:tcW w:w="1670" w:type="dxa"/>
            <w:vMerge w:val="continue"/>
            <w:tcBorders>
              <w:left w:val="single" w:color="auto" w:sz="8" w:space="0"/>
              <w:right w:val="single" w:color="auto" w:sz="8" w:space="0"/>
            </w:tcBorders>
          </w:tcPr>
          <w:p w14:paraId="423D1023">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c>
          <w:tcPr>
            <w:tcW w:w="699" w:type="dxa"/>
            <w:tcBorders>
              <w:top w:val="nil"/>
              <w:left w:val="single" w:color="auto" w:sz="8" w:space="0"/>
              <w:bottom w:val="single" w:color="000000" w:sz="8" w:space="0"/>
              <w:right w:val="single" w:color="auto" w:sz="8" w:space="0"/>
            </w:tcBorders>
          </w:tcPr>
          <w:p w14:paraId="0597CC0F">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r>
      <w:tr w14:paraId="4F521D5A">
        <w:tblPrEx>
          <w:tblCellMar>
            <w:top w:w="0" w:type="dxa"/>
            <w:left w:w="108" w:type="dxa"/>
            <w:bottom w:w="0" w:type="dxa"/>
            <w:right w:w="108" w:type="dxa"/>
          </w:tblCellMar>
        </w:tblPrEx>
        <w:trPr>
          <w:trHeight w:val="20" w:hRule="atLeast"/>
        </w:trPr>
        <w:tc>
          <w:tcPr>
            <w:tcW w:w="1181" w:type="dxa"/>
            <w:vMerge w:val="continue"/>
            <w:tcBorders>
              <w:left w:val="single" w:color="auto" w:sz="8" w:space="0"/>
              <w:right w:val="single" w:color="auto" w:sz="8" w:space="0"/>
            </w:tcBorders>
            <w:vAlign w:val="center"/>
          </w:tcPr>
          <w:p w14:paraId="587AEEE2">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c>
          <w:tcPr>
            <w:tcW w:w="1276" w:type="dxa"/>
            <w:vMerge w:val="continue"/>
            <w:tcBorders>
              <w:left w:val="single" w:color="auto" w:sz="8" w:space="0"/>
              <w:right w:val="single" w:color="auto" w:sz="8" w:space="0"/>
            </w:tcBorders>
            <w:vAlign w:val="center"/>
          </w:tcPr>
          <w:p w14:paraId="1D1C63AF">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c>
          <w:tcPr>
            <w:tcW w:w="1275" w:type="dxa"/>
            <w:vMerge w:val="continue"/>
            <w:tcBorders>
              <w:left w:val="single" w:color="auto" w:sz="8" w:space="0"/>
              <w:right w:val="single" w:color="auto" w:sz="8" w:space="0"/>
            </w:tcBorders>
            <w:shd w:val="clear" w:color="auto" w:fill="auto"/>
            <w:noWrap/>
            <w:vAlign w:val="center"/>
          </w:tcPr>
          <w:p w14:paraId="7E1B5C5E">
            <w:pPr>
              <w:widowControl/>
              <w:adjustRightInd/>
              <w:spacing w:line="240" w:lineRule="auto"/>
              <w:jc w:val="center"/>
              <w:rPr>
                <w:rFonts w:ascii="宋体" w:hAnsi="宋体" w:cs="Arial"/>
                <w:color w:val="000000" w:themeColor="text1"/>
                <w:kern w:val="0"/>
                <w:sz w:val="18"/>
                <w:szCs w:val="18"/>
                <w14:textFill>
                  <w14:solidFill>
                    <w14:schemeClr w14:val="tx1"/>
                  </w14:solidFill>
                </w14:textFill>
              </w:rPr>
            </w:pPr>
          </w:p>
        </w:tc>
        <w:tc>
          <w:tcPr>
            <w:tcW w:w="3402" w:type="dxa"/>
            <w:tcBorders>
              <w:top w:val="nil"/>
              <w:left w:val="nil"/>
              <w:bottom w:val="single" w:color="auto" w:sz="8" w:space="0"/>
              <w:right w:val="single" w:color="auto" w:sz="8" w:space="0"/>
            </w:tcBorders>
            <w:shd w:val="clear" w:color="auto" w:fill="auto"/>
            <w:noWrap/>
            <w:vAlign w:val="center"/>
          </w:tcPr>
          <w:p w14:paraId="275150E6">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c>
          <w:tcPr>
            <w:tcW w:w="1276" w:type="dxa"/>
            <w:vMerge w:val="continue"/>
            <w:tcBorders>
              <w:left w:val="single" w:color="auto" w:sz="8" w:space="0"/>
              <w:right w:val="single" w:color="auto" w:sz="8" w:space="0"/>
            </w:tcBorders>
            <w:vAlign w:val="center"/>
          </w:tcPr>
          <w:p w14:paraId="1D12FDE8">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c>
          <w:tcPr>
            <w:tcW w:w="1559" w:type="dxa"/>
            <w:vMerge w:val="continue"/>
            <w:tcBorders>
              <w:left w:val="single" w:color="auto" w:sz="8" w:space="0"/>
              <w:right w:val="single" w:color="auto" w:sz="8" w:space="0"/>
            </w:tcBorders>
          </w:tcPr>
          <w:p w14:paraId="5D23FB1C">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c>
          <w:tcPr>
            <w:tcW w:w="1418" w:type="dxa"/>
            <w:vMerge w:val="continue"/>
            <w:tcBorders>
              <w:left w:val="single" w:color="auto" w:sz="8" w:space="0"/>
              <w:right w:val="single" w:color="auto" w:sz="8" w:space="0"/>
            </w:tcBorders>
          </w:tcPr>
          <w:p w14:paraId="0F6E8192">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c>
          <w:tcPr>
            <w:tcW w:w="1670" w:type="dxa"/>
            <w:vMerge w:val="continue"/>
            <w:tcBorders>
              <w:left w:val="single" w:color="auto" w:sz="8" w:space="0"/>
              <w:right w:val="single" w:color="auto" w:sz="8" w:space="0"/>
            </w:tcBorders>
          </w:tcPr>
          <w:p w14:paraId="75817D79">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c>
          <w:tcPr>
            <w:tcW w:w="699" w:type="dxa"/>
            <w:tcBorders>
              <w:top w:val="nil"/>
              <w:left w:val="single" w:color="auto" w:sz="8" w:space="0"/>
              <w:bottom w:val="single" w:color="000000" w:sz="8" w:space="0"/>
              <w:right w:val="single" w:color="auto" w:sz="8" w:space="0"/>
            </w:tcBorders>
          </w:tcPr>
          <w:p w14:paraId="2FB21E65">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r>
      <w:tr w14:paraId="66BECAD2">
        <w:tblPrEx>
          <w:tblCellMar>
            <w:top w:w="0" w:type="dxa"/>
            <w:left w:w="108" w:type="dxa"/>
            <w:bottom w:w="0" w:type="dxa"/>
            <w:right w:w="108" w:type="dxa"/>
          </w:tblCellMar>
        </w:tblPrEx>
        <w:trPr>
          <w:trHeight w:val="20" w:hRule="atLeast"/>
        </w:trPr>
        <w:tc>
          <w:tcPr>
            <w:tcW w:w="1181" w:type="dxa"/>
            <w:vMerge w:val="continue"/>
            <w:tcBorders>
              <w:left w:val="single" w:color="auto" w:sz="8" w:space="0"/>
              <w:right w:val="single" w:color="auto" w:sz="8" w:space="0"/>
            </w:tcBorders>
            <w:vAlign w:val="center"/>
          </w:tcPr>
          <w:p w14:paraId="4AE39D22">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c>
          <w:tcPr>
            <w:tcW w:w="1276" w:type="dxa"/>
            <w:vMerge w:val="continue"/>
            <w:tcBorders>
              <w:left w:val="single" w:color="auto" w:sz="8" w:space="0"/>
              <w:right w:val="single" w:color="auto" w:sz="8" w:space="0"/>
            </w:tcBorders>
            <w:vAlign w:val="center"/>
          </w:tcPr>
          <w:p w14:paraId="748E2D74">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c>
          <w:tcPr>
            <w:tcW w:w="1275" w:type="dxa"/>
            <w:vMerge w:val="continue"/>
            <w:tcBorders>
              <w:left w:val="single" w:color="auto" w:sz="8" w:space="0"/>
              <w:right w:val="single" w:color="auto" w:sz="8" w:space="0"/>
            </w:tcBorders>
            <w:shd w:val="clear" w:color="auto" w:fill="auto"/>
            <w:vAlign w:val="center"/>
          </w:tcPr>
          <w:p w14:paraId="31A8E2B5">
            <w:pPr>
              <w:widowControl/>
              <w:adjustRightInd/>
              <w:spacing w:line="240" w:lineRule="auto"/>
              <w:jc w:val="center"/>
              <w:rPr>
                <w:rFonts w:ascii="宋体" w:hAnsi="宋体" w:cs="Arial"/>
                <w:color w:val="000000" w:themeColor="text1"/>
                <w:kern w:val="0"/>
                <w:sz w:val="18"/>
                <w:szCs w:val="18"/>
                <w14:textFill>
                  <w14:solidFill>
                    <w14:schemeClr w14:val="tx1"/>
                  </w14:solidFill>
                </w14:textFill>
              </w:rPr>
            </w:pPr>
          </w:p>
        </w:tc>
        <w:tc>
          <w:tcPr>
            <w:tcW w:w="3402" w:type="dxa"/>
            <w:tcBorders>
              <w:top w:val="nil"/>
              <w:left w:val="nil"/>
              <w:bottom w:val="single" w:color="auto" w:sz="8" w:space="0"/>
              <w:right w:val="single" w:color="auto" w:sz="8" w:space="0"/>
            </w:tcBorders>
            <w:shd w:val="clear" w:color="auto" w:fill="auto"/>
            <w:noWrap/>
            <w:vAlign w:val="center"/>
          </w:tcPr>
          <w:p w14:paraId="68AC3312">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c>
          <w:tcPr>
            <w:tcW w:w="1276" w:type="dxa"/>
            <w:vMerge w:val="continue"/>
            <w:tcBorders>
              <w:left w:val="single" w:color="auto" w:sz="8" w:space="0"/>
              <w:right w:val="single" w:color="auto" w:sz="8" w:space="0"/>
            </w:tcBorders>
            <w:vAlign w:val="center"/>
          </w:tcPr>
          <w:p w14:paraId="2B78E2C9">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c>
          <w:tcPr>
            <w:tcW w:w="1559" w:type="dxa"/>
            <w:vMerge w:val="continue"/>
            <w:tcBorders>
              <w:left w:val="single" w:color="auto" w:sz="8" w:space="0"/>
              <w:right w:val="single" w:color="auto" w:sz="8" w:space="0"/>
            </w:tcBorders>
          </w:tcPr>
          <w:p w14:paraId="4122E70A">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c>
          <w:tcPr>
            <w:tcW w:w="1418" w:type="dxa"/>
            <w:vMerge w:val="continue"/>
            <w:tcBorders>
              <w:left w:val="single" w:color="auto" w:sz="8" w:space="0"/>
              <w:right w:val="single" w:color="auto" w:sz="8" w:space="0"/>
            </w:tcBorders>
          </w:tcPr>
          <w:p w14:paraId="088357F3">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c>
          <w:tcPr>
            <w:tcW w:w="1670" w:type="dxa"/>
            <w:vMerge w:val="continue"/>
            <w:tcBorders>
              <w:left w:val="single" w:color="auto" w:sz="8" w:space="0"/>
              <w:right w:val="single" w:color="auto" w:sz="8" w:space="0"/>
            </w:tcBorders>
          </w:tcPr>
          <w:p w14:paraId="00CCA3BF">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c>
          <w:tcPr>
            <w:tcW w:w="699" w:type="dxa"/>
            <w:tcBorders>
              <w:top w:val="nil"/>
              <w:left w:val="single" w:color="auto" w:sz="8" w:space="0"/>
              <w:bottom w:val="single" w:color="000000" w:sz="8" w:space="0"/>
              <w:right w:val="single" w:color="auto" w:sz="8" w:space="0"/>
            </w:tcBorders>
          </w:tcPr>
          <w:p w14:paraId="358D3389">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r>
      <w:tr w14:paraId="07099F2E">
        <w:tblPrEx>
          <w:tblCellMar>
            <w:top w:w="0" w:type="dxa"/>
            <w:left w:w="108" w:type="dxa"/>
            <w:bottom w:w="0" w:type="dxa"/>
            <w:right w:w="108" w:type="dxa"/>
          </w:tblCellMar>
        </w:tblPrEx>
        <w:trPr>
          <w:trHeight w:val="20" w:hRule="atLeast"/>
        </w:trPr>
        <w:tc>
          <w:tcPr>
            <w:tcW w:w="1181" w:type="dxa"/>
            <w:vMerge w:val="continue"/>
            <w:tcBorders>
              <w:left w:val="single" w:color="auto" w:sz="8" w:space="0"/>
              <w:bottom w:val="single" w:color="auto" w:sz="4" w:space="0"/>
              <w:right w:val="single" w:color="auto" w:sz="8" w:space="0"/>
            </w:tcBorders>
            <w:vAlign w:val="center"/>
          </w:tcPr>
          <w:p w14:paraId="755B1961">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c>
          <w:tcPr>
            <w:tcW w:w="1276" w:type="dxa"/>
            <w:vMerge w:val="continue"/>
            <w:tcBorders>
              <w:left w:val="single" w:color="auto" w:sz="8" w:space="0"/>
              <w:bottom w:val="single" w:color="auto" w:sz="4" w:space="0"/>
              <w:right w:val="single" w:color="auto" w:sz="8" w:space="0"/>
            </w:tcBorders>
            <w:vAlign w:val="center"/>
          </w:tcPr>
          <w:p w14:paraId="0D54D5ED">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c>
          <w:tcPr>
            <w:tcW w:w="1275" w:type="dxa"/>
            <w:vMerge w:val="continue"/>
            <w:tcBorders>
              <w:left w:val="single" w:color="auto" w:sz="8" w:space="0"/>
              <w:bottom w:val="single" w:color="auto" w:sz="4" w:space="0"/>
              <w:right w:val="single" w:color="auto" w:sz="8" w:space="0"/>
            </w:tcBorders>
            <w:shd w:val="clear" w:color="auto" w:fill="auto"/>
            <w:vAlign w:val="center"/>
          </w:tcPr>
          <w:p w14:paraId="7B7F0C74">
            <w:pPr>
              <w:widowControl/>
              <w:adjustRightInd/>
              <w:spacing w:line="240" w:lineRule="auto"/>
              <w:jc w:val="center"/>
              <w:rPr>
                <w:rFonts w:ascii="宋体" w:hAnsi="宋体" w:cs="Arial"/>
                <w:color w:val="000000" w:themeColor="text1"/>
                <w:kern w:val="0"/>
                <w:sz w:val="18"/>
                <w:szCs w:val="18"/>
                <w14:textFill>
                  <w14:solidFill>
                    <w14:schemeClr w14:val="tx1"/>
                  </w14:solidFill>
                </w14:textFill>
              </w:rPr>
            </w:pPr>
          </w:p>
        </w:tc>
        <w:tc>
          <w:tcPr>
            <w:tcW w:w="3402" w:type="dxa"/>
            <w:tcBorders>
              <w:top w:val="nil"/>
              <w:left w:val="nil"/>
              <w:bottom w:val="single" w:color="auto" w:sz="4" w:space="0"/>
              <w:right w:val="single" w:color="auto" w:sz="8" w:space="0"/>
            </w:tcBorders>
            <w:shd w:val="clear" w:color="auto" w:fill="auto"/>
            <w:noWrap/>
            <w:vAlign w:val="center"/>
          </w:tcPr>
          <w:p w14:paraId="3006142F">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c>
          <w:tcPr>
            <w:tcW w:w="1276" w:type="dxa"/>
            <w:vMerge w:val="continue"/>
            <w:tcBorders>
              <w:left w:val="single" w:color="auto" w:sz="8" w:space="0"/>
              <w:bottom w:val="single" w:color="auto" w:sz="4" w:space="0"/>
              <w:right w:val="single" w:color="auto" w:sz="8" w:space="0"/>
            </w:tcBorders>
            <w:vAlign w:val="center"/>
          </w:tcPr>
          <w:p w14:paraId="675F3F75">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c>
          <w:tcPr>
            <w:tcW w:w="1559" w:type="dxa"/>
            <w:vMerge w:val="continue"/>
            <w:tcBorders>
              <w:left w:val="single" w:color="auto" w:sz="8" w:space="0"/>
              <w:bottom w:val="single" w:color="auto" w:sz="4" w:space="0"/>
              <w:right w:val="single" w:color="auto" w:sz="8" w:space="0"/>
            </w:tcBorders>
          </w:tcPr>
          <w:p w14:paraId="71800F00">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c>
          <w:tcPr>
            <w:tcW w:w="1418" w:type="dxa"/>
            <w:vMerge w:val="continue"/>
            <w:tcBorders>
              <w:left w:val="single" w:color="auto" w:sz="8" w:space="0"/>
              <w:bottom w:val="single" w:color="auto" w:sz="4" w:space="0"/>
              <w:right w:val="single" w:color="auto" w:sz="8" w:space="0"/>
            </w:tcBorders>
          </w:tcPr>
          <w:p w14:paraId="422681F9">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c>
          <w:tcPr>
            <w:tcW w:w="1670" w:type="dxa"/>
            <w:vMerge w:val="continue"/>
            <w:tcBorders>
              <w:left w:val="single" w:color="auto" w:sz="8" w:space="0"/>
              <w:bottom w:val="single" w:color="auto" w:sz="4" w:space="0"/>
              <w:right w:val="single" w:color="auto" w:sz="8" w:space="0"/>
            </w:tcBorders>
          </w:tcPr>
          <w:p w14:paraId="4095BBCD">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c>
          <w:tcPr>
            <w:tcW w:w="699" w:type="dxa"/>
            <w:tcBorders>
              <w:top w:val="nil"/>
              <w:left w:val="single" w:color="auto" w:sz="8" w:space="0"/>
              <w:bottom w:val="single" w:color="auto" w:sz="4" w:space="0"/>
              <w:right w:val="single" w:color="auto" w:sz="8" w:space="0"/>
            </w:tcBorders>
          </w:tcPr>
          <w:p w14:paraId="2CBDE00B">
            <w:pPr>
              <w:widowControl/>
              <w:adjustRightInd/>
              <w:spacing w:line="240" w:lineRule="auto"/>
              <w:jc w:val="left"/>
              <w:rPr>
                <w:rFonts w:ascii="宋体" w:hAnsi="宋体" w:cs="Arial"/>
                <w:color w:val="000000" w:themeColor="text1"/>
                <w:kern w:val="0"/>
                <w:sz w:val="18"/>
                <w:szCs w:val="18"/>
                <w14:textFill>
                  <w14:solidFill>
                    <w14:schemeClr w14:val="tx1"/>
                  </w14:solidFill>
                </w14:textFill>
              </w:rPr>
            </w:pPr>
          </w:p>
        </w:tc>
      </w:tr>
      <w:tr w14:paraId="17C6122E">
        <w:tblPrEx>
          <w:tblCellMar>
            <w:top w:w="0" w:type="dxa"/>
            <w:left w:w="108" w:type="dxa"/>
            <w:bottom w:w="0" w:type="dxa"/>
            <w:right w:w="108" w:type="dxa"/>
          </w:tblCellMar>
        </w:tblPrEx>
        <w:trPr>
          <w:trHeight w:val="20" w:hRule="atLeast"/>
        </w:trPr>
        <w:tc>
          <w:tcPr>
            <w:tcW w:w="13756" w:type="dxa"/>
            <w:gridSpan w:val="9"/>
            <w:tcBorders>
              <w:top w:val="single" w:color="auto" w:sz="4" w:space="0"/>
              <w:left w:val="single" w:color="auto" w:sz="4" w:space="0"/>
              <w:bottom w:val="single" w:color="auto" w:sz="4" w:space="0"/>
              <w:right w:val="single" w:color="auto" w:sz="4" w:space="0"/>
            </w:tcBorders>
            <w:vAlign w:val="center"/>
          </w:tcPr>
          <w:p w14:paraId="1A9CAF98">
            <w:pPr>
              <w:pStyle w:val="184"/>
              <w:rPr>
                <w:color w:val="000000" w:themeColor="text1"/>
                <w14:textFill>
                  <w14:solidFill>
                    <w14:schemeClr w14:val="tx1"/>
                  </w14:solidFill>
                </w14:textFill>
              </w:rPr>
            </w:pPr>
            <w:r>
              <w:rPr>
                <w:rFonts w:hint="eastAsia"/>
                <w:color w:val="000000" w:themeColor="text1"/>
                <w14:textFill>
                  <w14:solidFill>
                    <w14:schemeClr w14:val="tx1"/>
                  </w14:solidFill>
                </w14:textFill>
              </w:rPr>
              <w:t>材料分类根据政务服务全程网办事项的不同，包括申请材料、审批过程材料和审核结果材料等。</w:t>
            </w:r>
          </w:p>
          <w:p w14:paraId="67E1A31F">
            <w:pPr>
              <w:pStyle w:val="184"/>
              <w:rPr>
                <w:color w:val="000000" w:themeColor="text1"/>
                <w14:textFill>
                  <w14:solidFill>
                    <w14:schemeClr w14:val="tx1"/>
                  </w14:solidFill>
                </w14:textFill>
              </w:rPr>
            </w:pPr>
            <w:r>
              <w:rPr>
                <w:color w:val="000000" w:themeColor="text1"/>
                <w14:textFill>
                  <w14:solidFill>
                    <w14:schemeClr w14:val="tx1"/>
                  </w14:solidFill>
                </w14:textFill>
              </w:rPr>
              <w:t>归档范围</w:t>
            </w:r>
            <w:r>
              <w:rPr>
                <w:rFonts w:hint="eastAsia"/>
                <w:color w:val="000000" w:themeColor="text1"/>
                <w14:textFill>
                  <w14:solidFill>
                    <w14:schemeClr w14:val="tx1"/>
                  </w14:solidFill>
                </w14:textFill>
              </w:rPr>
              <w:t>指</w:t>
            </w:r>
            <w:r>
              <w:rPr>
                <w:color w:val="000000" w:themeColor="text1"/>
                <w14:textFill>
                  <w14:solidFill>
                    <w14:schemeClr w14:val="tx1"/>
                  </w14:solidFill>
                </w14:textFill>
              </w:rPr>
              <w:t>各政务服务全程网办事项</w:t>
            </w:r>
            <w:r>
              <w:rPr>
                <w:rFonts w:hint="eastAsia"/>
                <w:color w:val="000000" w:themeColor="text1"/>
                <w14:textFill>
                  <w14:solidFill>
                    <w14:schemeClr w14:val="tx1"/>
                  </w14:solidFill>
                </w14:textFill>
              </w:rPr>
              <w:t>拟</w:t>
            </w:r>
            <w:r>
              <w:rPr>
                <w:color w:val="000000" w:themeColor="text1"/>
                <w14:textFill>
                  <w14:solidFill>
                    <w14:schemeClr w14:val="tx1"/>
                  </w14:solidFill>
                </w14:textFill>
              </w:rPr>
              <w:t>归档的相关材料。</w:t>
            </w:r>
          </w:p>
        </w:tc>
      </w:tr>
    </w:tbl>
    <w:p w14:paraId="2C4985D1">
      <w:pPr>
        <w:pStyle w:val="60"/>
        <w:ind w:firstLine="199" w:firstLineChars="95"/>
        <w:rPr>
          <w:color w:val="000000" w:themeColor="text1"/>
          <w14:textFill>
            <w14:solidFill>
              <w14:schemeClr w14:val="tx1"/>
            </w14:solidFill>
          </w14:textFill>
        </w:rPr>
      </w:pPr>
      <w:r>
        <w:rPr>
          <w:color w:val="000000" w:themeColor="text1"/>
          <w14:textFill>
            <w14:solidFill>
              <w14:schemeClr w14:val="tx1"/>
            </w14:solidFill>
          </w14:textFill>
        </w:rPr>
        <w:br w:type="textWrapping"/>
      </w:r>
    </w:p>
    <w:p w14:paraId="2105B822">
      <w:pPr>
        <w:pStyle w:val="202"/>
        <w:rPr>
          <w:vanish w:val="0"/>
          <w:color w:val="000000" w:themeColor="text1"/>
          <w14:textFill>
            <w14:solidFill>
              <w14:schemeClr w14:val="tx1"/>
            </w14:solidFill>
          </w14:textFill>
        </w:rPr>
      </w:pPr>
    </w:p>
    <w:p w14:paraId="5CAD6CCA">
      <w:pPr>
        <w:pStyle w:val="203"/>
        <w:rPr>
          <w:vanish w:val="0"/>
          <w:color w:val="000000" w:themeColor="text1"/>
          <w14:textFill>
            <w14:solidFill>
              <w14:schemeClr w14:val="tx1"/>
            </w14:solidFill>
          </w14:textFill>
        </w:rPr>
      </w:pPr>
    </w:p>
    <w:bookmarkEnd w:id="259"/>
    <w:p w14:paraId="3308AF3E">
      <w:pPr>
        <w:pStyle w:val="60"/>
        <w:ind w:firstLine="420"/>
        <w:rPr>
          <w:color w:val="000000" w:themeColor="text1"/>
          <w14:textFill>
            <w14:solidFill>
              <w14:schemeClr w14:val="tx1"/>
            </w14:solidFill>
          </w14:textFill>
        </w:rPr>
        <w:sectPr>
          <w:headerReference r:id="rId23" w:type="default"/>
          <w:footerReference r:id="rId25" w:type="default"/>
          <w:headerReference r:id="rId24" w:type="even"/>
          <w:footerReference r:id="rId26" w:type="even"/>
          <w:pgSz w:w="16838" w:h="11906" w:orient="landscape"/>
          <w:pgMar w:top="1134" w:right="1928" w:bottom="1134" w:left="1134" w:header="1418" w:footer="1134" w:gutter="284"/>
          <w:cols w:space="425" w:num="1"/>
          <w:formProt w:val="0"/>
          <w:docGrid w:type="lines" w:linePitch="312" w:charSpace="0"/>
        </w:sectPr>
      </w:pPr>
      <w:bookmarkStart w:id="289" w:name="BookMark6"/>
    </w:p>
    <w:p w14:paraId="7A1BC374">
      <w:pPr>
        <w:pStyle w:val="67"/>
        <w:spacing w:after="156"/>
        <w:rPr>
          <w:color w:val="000000" w:themeColor="text1"/>
          <w14:textFill>
            <w14:solidFill>
              <w14:schemeClr w14:val="tx1"/>
            </w14:solidFill>
          </w14:textFill>
        </w:rPr>
      </w:pPr>
      <w:bookmarkStart w:id="290" w:name="_Toc155793373"/>
      <w:bookmarkStart w:id="291" w:name="_Toc155860945"/>
      <w:bookmarkStart w:id="292" w:name="_Toc155871106"/>
      <w:bookmarkStart w:id="293" w:name="_Toc155866430"/>
      <w:bookmarkStart w:id="294" w:name="_Toc162013356"/>
      <w:bookmarkStart w:id="295" w:name="_Toc162013384"/>
      <w:bookmarkStart w:id="296" w:name="_Toc162339019"/>
      <w:bookmarkStart w:id="297" w:name="_Toc162537331"/>
      <w:bookmarkStart w:id="298" w:name="_Toc161240719"/>
      <w:bookmarkStart w:id="299" w:name="_Toc161752923"/>
      <w:bookmarkStart w:id="300" w:name="_Toc164863336"/>
      <w:bookmarkStart w:id="301" w:name="_Toc167894446"/>
      <w:bookmarkStart w:id="302" w:name="_Toc167894898"/>
      <w:bookmarkStart w:id="303" w:name="_Toc167980194"/>
      <w:bookmarkStart w:id="304" w:name="_Toc168473787"/>
      <w:bookmarkStart w:id="305" w:name="_Toc169012573"/>
      <w:bookmarkStart w:id="306" w:name="_Toc169514950"/>
      <w:bookmarkStart w:id="307" w:name="_Toc170398216"/>
      <w:bookmarkStart w:id="308" w:name="_Toc170900464"/>
      <w:bookmarkStart w:id="309" w:name="_Toc171325660"/>
      <w:bookmarkStart w:id="310" w:name="_Toc171584698"/>
      <w:r>
        <w:rPr>
          <w:rFonts w:hint="eastAsia"/>
          <w:color w:val="000000" w:themeColor="text1"/>
          <w:spacing w:val="105"/>
          <w14:textFill>
            <w14:solidFill>
              <w14:schemeClr w14:val="tx1"/>
            </w14:solidFill>
          </w14:textFill>
        </w:rPr>
        <w:t>参考文</w:t>
      </w:r>
      <w:r>
        <w:rPr>
          <w:rFonts w:hint="eastAsia"/>
          <w:color w:val="000000" w:themeColor="text1"/>
          <w14:textFill>
            <w14:solidFill>
              <w14:schemeClr w14:val="tx1"/>
            </w14:solidFill>
          </w14:textFill>
        </w:rPr>
        <w:t>献</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bookmarkEnd w:id="289"/>
    <w:p w14:paraId="4B1F06A9">
      <w:pPr>
        <w:pStyle w:val="60"/>
        <w:ind w:firstLine="420"/>
        <w:rPr>
          <w:color w:val="000000" w:themeColor="text1"/>
          <w14:textFill>
            <w14:solidFill>
              <w14:schemeClr w14:val="tx1"/>
            </w14:solidFill>
          </w14:textFill>
        </w:rPr>
      </w:pPr>
      <w:bookmarkStart w:id="311" w:name="BookMark8"/>
      <w:r>
        <w:rPr>
          <w:rFonts w:hint="eastAsia"/>
          <w:color w:val="000000" w:themeColor="text1"/>
          <w14:textFill>
            <w14:solidFill>
              <w14:schemeClr w14:val="tx1"/>
            </w14:solidFill>
          </w14:textFill>
        </w:rPr>
        <w:t xml:space="preserve">[1]  </w:t>
      </w:r>
      <w:r>
        <w:rPr>
          <w:rFonts w:hint="eastAsia"/>
        </w:rPr>
        <w:t>GB/T 39047</w:t>
      </w:r>
      <w:r>
        <w:rPr>
          <w:rFonts w:hint="eastAsia" w:hAnsi="宋体"/>
        </w:rPr>
        <w:t>—</w:t>
      </w:r>
      <w:r>
        <w:rPr>
          <w:rFonts w:hint="eastAsia"/>
        </w:rPr>
        <w:t>2020  政务服务平台基本功能规范</w:t>
      </w:r>
    </w:p>
    <w:p w14:paraId="3F8DE4A8">
      <w:pPr>
        <w:pStyle w:val="60"/>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[2]  GB/T 39784  电子档案管理系统通用功能要求</w:t>
      </w:r>
    </w:p>
    <w:p w14:paraId="192BE820">
      <w:pPr>
        <w:pStyle w:val="60"/>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[3]  GB/T 42133  信息技术  OFD档案应用指南</w:t>
      </w:r>
    </w:p>
    <w:p w14:paraId="40860C2C">
      <w:pPr>
        <w:pStyle w:val="60"/>
        <w:ind w:firstLine="420"/>
        <w:rPr>
          <w:rFonts w:hAnsi="宋体"/>
          <w:color w:val="000000" w:themeColor="text1"/>
          <w14:textFill>
            <w14:solidFill>
              <w14:schemeClr w14:val="tx1"/>
            </w14:solidFill>
          </w14:textFill>
        </w:rPr>
      </w:pPr>
      <w:r>
        <w:rPr>
          <w:rFonts w:hint="eastAsia"/>
          <w:color w:val="000000" w:themeColor="text1"/>
          <w14:textFill>
            <w14:solidFill>
              <w14:schemeClr w14:val="tx1"/>
            </w14:solidFill>
          </w14:textFill>
        </w:rPr>
        <w:t>[4]  DA/T 18  档案著录规则</w:t>
      </w:r>
    </w:p>
    <w:p w14:paraId="7CC4DA77">
      <w:pPr>
        <w:pStyle w:val="60"/>
        <w:ind w:firstLine="420"/>
        <w:rPr>
          <w:rFonts w:hAnsi="宋体" w:cs="宋体"/>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[5]  </w:t>
      </w:r>
      <w:r>
        <w:rPr>
          <w:rFonts w:hint="eastAsia" w:hAnsi="宋体" w:cs="宋体"/>
          <w:color w:val="000000" w:themeColor="text1"/>
          <w14:textFill>
            <w14:solidFill>
              <w14:schemeClr w14:val="tx1"/>
            </w14:solidFill>
          </w14:textFill>
        </w:rPr>
        <w:t>DA/T 47  版式电子文件长期保存格式需求</w:t>
      </w:r>
    </w:p>
    <w:p w14:paraId="462CAC17">
      <w:pPr>
        <w:pStyle w:val="60"/>
        <w:ind w:firstLine="420"/>
        <w:rPr>
          <w:rFonts w:hAnsi="宋体" w:cs="宋体"/>
          <w:color w:val="000000" w:themeColor="text1"/>
          <w14:textFill>
            <w14:solidFill>
              <w14:schemeClr w14:val="tx1"/>
            </w14:solidFill>
          </w14:textFill>
        </w:rPr>
      </w:pPr>
      <w:r>
        <w:rPr>
          <w:rFonts w:hint="eastAsia"/>
          <w:color w:val="000000" w:themeColor="text1"/>
          <w14:textFill>
            <w14:solidFill>
              <w14:schemeClr w14:val="tx1"/>
            </w14:solidFill>
          </w14:textFill>
        </w:rPr>
        <w:t>[6]</w:t>
      </w:r>
      <w:r>
        <w:rPr>
          <w:color w:val="000000" w:themeColor="text1"/>
          <w14:textFill>
            <w14:solidFill>
              <w14:schemeClr w14:val="tx1"/>
            </w14:solidFill>
          </w14:textFill>
        </w:rPr>
        <w:t xml:space="preserve">  </w:t>
      </w:r>
      <w:r>
        <w:rPr>
          <w:rFonts w:hint="eastAsia" w:hAnsi="宋体"/>
          <w:color w:val="000000" w:themeColor="text1"/>
          <w14:textFill>
            <w14:solidFill>
              <w14:schemeClr w14:val="tx1"/>
            </w14:solidFill>
          </w14:textFill>
        </w:rPr>
        <w:t>DA</w:t>
      </w:r>
      <w:r>
        <w:rPr>
          <w:rFonts w:hAnsi="宋体"/>
          <w:color w:val="000000" w:themeColor="text1"/>
          <w14:textFill>
            <w14:solidFill>
              <w14:schemeClr w14:val="tx1"/>
            </w14:solidFill>
          </w14:textFill>
        </w:rPr>
        <w:t>/T 70—2018  文书类电子档案检测一般要求</w:t>
      </w:r>
    </w:p>
    <w:p w14:paraId="25B3BAC7">
      <w:pPr>
        <w:pStyle w:val="60"/>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[7]  DA/T 97  电子档案证据效力维护规范</w:t>
      </w:r>
    </w:p>
    <w:p w14:paraId="146CF4B2">
      <w:pPr>
        <w:pStyle w:val="60"/>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8</w:t>
      </w:r>
      <w:r>
        <w:rPr>
          <w:rFonts w:hint="eastAsia"/>
          <w:color w:val="000000" w:themeColor="text1"/>
          <w14:textFill>
            <w14:solidFill>
              <w14:schemeClr w14:val="tx1"/>
            </w14:solidFill>
          </w14:textFill>
        </w:rPr>
        <w:t>]  政务服务电子文件归档和电子档案管理办法（国办发〔2023〕26号）</w:t>
      </w:r>
    </w:p>
    <w:p w14:paraId="2BE77B9E">
      <w:pPr>
        <w:pStyle w:val="60"/>
        <w:ind w:firstLine="0" w:firstLineChars="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3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11"/>
    </w:p>
    <w:sectPr>
      <w:headerReference r:id="rId27" w:type="default"/>
      <w:footerReference r:id="rId29" w:type="default"/>
      <w:headerReference r:id="rId28" w:type="even"/>
      <w:footerReference r:id="rId30" w:type="even"/>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简体">
    <w:panose1 w:val="02010601030101010101"/>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3DF3E5">
    <w:pPr>
      <w:pStyle w:val="18"/>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7FAFD0">
    <w:pPr>
      <w:pStyle w:val="56"/>
    </w:pPr>
    <w:r>
      <w:fldChar w:fldCharType="begin"/>
    </w:r>
    <w:r>
      <w:instrText xml:space="preserve">PAGE   \* MERGEFORMAT</w:instrText>
    </w:r>
    <w:r>
      <w:fldChar w:fldCharType="separate"/>
    </w:r>
    <w:r>
      <w:rPr>
        <w:lang w:val="zh-CN"/>
      </w:rPr>
      <w:t>7</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3A14E7">
    <w:pPr>
      <w:pStyle w:val="55"/>
    </w:pPr>
    <w:r>
      <w:fldChar w:fldCharType="begin"/>
    </w:r>
    <w:r>
      <w:instrText xml:space="preserve"> PAGE   \* MERGEFORMAT \* MERGEFORMAT </w:instrText>
    </w:r>
    <w:r>
      <w:fldChar w:fldCharType="separate"/>
    </w:r>
    <w:r>
      <w:t>6</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8FA60E">
    <w:pPr>
      <w:pStyle w:val="56"/>
    </w:pPr>
    <w:r>
      <w:fldChar w:fldCharType="begin"/>
    </w:r>
    <w:r>
      <w:instrText xml:space="preserve">PAGE   \* MERGEFORMAT</w:instrText>
    </w:r>
    <w:r>
      <w:fldChar w:fldCharType="separate"/>
    </w:r>
    <w:r>
      <w:rPr>
        <w:lang w:val="zh-CN"/>
      </w:rPr>
      <w:t>7</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C0EC8">
    <w:pPr>
      <w:pStyle w:val="55"/>
    </w:pPr>
    <w:r>
      <w:fldChar w:fldCharType="begin"/>
    </w:r>
    <w:r>
      <w:instrText xml:space="preserve"> PAGE   \* MERGEFORMAT \* MERGEFORMAT </w:instrText>
    </w:r>
    <w:r>
      <w:fldChar w:fldCharType="separate"/>
    </w:r>
    <w:r>
      <w:t>8</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CEF582">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458862">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81C395">
    <w:pPr>
      <w:pStyle w:val="56"/>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46D50C">
    <w:pPr>
      <w:pStyle w:val="55"/>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4BAB8D">
    <w:pPr>
      <w:pStyle w:val="56"/>
    </w:pPr>
    <w:r>
      <w:fldChar w:fldCharType="begin"/>
    </w:r>
    <w:r>
      <w:instrText xml:space="preserve">PAGE   \* MERGEFORMAT</w:instrText>
    </w:r>
    <w:r>
      <w:fldChar w:fldCharType="separate"/>
    </w:r>
    <w:r>
      <w:rPr>
        <w:lang w:val="zh-CN"/>
      </w:rPr>
      <w:t>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02A698">
    <w:pPr>
      <w:pStyle w:val="55"/>
    </w:pPr>
    <w:r>
      <w:fldChar w:fldCharType="begin"/>
    </w:r>
    <w:r>
      <w:instrText xml:space="preserve"> PAGE   \* MERGEFORMAT \* MERGEFORMAT </w:instrText>
    </w:r>
    <w:r>
      <w:fldChar w:fldCharType="separate"/>
    </w:r>
    <w:r>
      <w:t>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32299A">
    <w:pPr>
      <w:pStyle w:val="56"/>
    </w:pPr>
    <w:r>
      <w:fldChar w:fldCharType="begin"/>
    </w:r>
    <w:r>
      <w:instrText xml:space="preserve">PAGE   \* MERGEFORMAT</w:instrText>
    </w:r>
    <w:r>
      <w:fldChar w:fldCharType="separate"/>
    </w:r>
    <w:r>
      <w:rPr>
        <w:lang w:val="zh-CN"/>
      </w:rPr>
      <w:t>5</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54823F">
    <w:pPr>
      <w:pStyle w:val="55"/>
    </w:pPr>
    <w:r>
      <w:fldChar w:fldCharType="begin"/>
    </w:r>
    <w:r>
      <w:instrText xml:space="preserve"> PAGE   \* MERGEFORMAT \* MERGEFORMAT </w:instrText>
    </w:r>
    <w:r>
      <w:fldChar w:fldCharType="separate"/>
    </w:r>
    <w: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CA35AC">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2B8425">
    <w:pPr>
      <w:pStyle w:val="65"/>
    </w:pPr>
    <w:r>
      <w:fldChar w:fldCharType="begin"/>
    </w:r>
    <w:r>
      <w:instrText xml:space="preserve"> STYLEREF  标准文件_文件编号  \* MERGEFORMAT </w:instrText>
    </w:r>
    <w:r>
      <w:fldChar w:fldCharType="separate"/>
    </w:r>
    <w:r>
      <w:t>DB32/T 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681DA1">
    <w:pPr>
      <w:pStyle w:val="66"/>
    </w:pPr>
    <w:r>
      <w:fldChar w:fldCharType="begin"/>
    </w:r>
    <w:r>
      <w:instrText xml:space="preserve"> STYLEREF  标准文件_文件编号 \* MERGEFORMAT </w:instrText>
    </w:r>
    <w:r>
      <w:fldChar w:fldCharType="separate"/>
    </w:r>
    <w:r>
      <w:t>DB32/T XXXX—XXXX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534785">
    <w:pPr>
      <w:pStyle w:val="65"/>
    </w:pPr>
    <w:r>
      <w:fldChar w:fldCharType="begin"/>
    </w:r>
    <w:r>
      <w:instrText xml:space="preserve"> STYLEREF  标准文件_文件编号  \* MERGEFORMAT </w:instrText>
    </w:r>
    <w:r>
      <w:fldChar w:fldCharType="separate"/>
    </w:r>
    <w:r>
      <w:t>DB32/T XXXX—XXXX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B6474B">
    <w:pPr>
      <w:pStyle w:val="66"/>
    </w:pPr>
    <w:r>
      <w:fldChar w:fldCharType="begin"/>
    </w:r>
    <w:r>
      <w:instrText xml:space="preserve"> STYLEREF  标准文件_文件编号 \* MERGEFORMAT </w:instrText>
    </w:r>
    <w:r>
      <w:fldChar w:fldCharType="separate"/>
    </w:r>
    <w:r>
      <w:t>DB32/T XXXX—XXXX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92ECED">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C136F4">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31E0AF">
    <w:pPr>
      <w:pStyle w:val="65"/>
    </w:pPr>
    <w:r>
      <w:fldChar w:fldCharType="begin"/>
    </w:r>
    <w:r>
      <w:instrText xml:space="preserve"> STYLEREF  标准文件_文件编号  \* MERGEFORMAT </w:instrText>
    </w:r>
    <w:r>
      <w:fldChar w:fldCharType="separate"/>
    </w:r>
    <w:r>
      <w:t>DB32/T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D6E36F">
    <w:pPr>
      <w:pStyle w:val="66"/>
    </w:pPr>
    <w:r>
      <w:fldChar w:fldCharType="begin"/>
    </w:r>
    <w:r>
      <w:instrText xml:space="preserve"> STYLEREF  标准文件_文件编号 \* MERGEFORMAT </w:instrText>
    </w:r>
    <w:r>
      <w:fldChar w:fldCharType="separate"/>
    </w:r>
    <w:r>
      <w:t>DB32/T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532028">
    <w:pPr>
      <w:pStyle w:val="65"/>
    </w:pPr>
    <w:r>
      <w:fldChar w:fldCharType="begin"/>
    </w:r>
    <w:r>
      <w:instrText xml:space="preserve"> STYLEREF  标准文件_文件编号  \* MERGEFORMAT </w:instrText>
    </w:r>
    <w:r>
      <w:fldChar w:fldCharType="separate"/>
    </w:r>
    <w:r>
      <w:t>DB32/T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128028">
    <w:pPr>
      <w:pStyle w:val="66"/>
    </w:pPr>
    <w:r>
      <w:fldChar w:fldCharType="begin"/>
    </w:r>
    <w:r>
      <w:instrText xml:space="preserve"> STYLEREF  标准文件_文件编号 \* MERGEFORMAT </w:instrText>
    </w:r>
    <w:r>
      <w:fldChar w:fldCharType="separate"/>
    </w:r>
    <w:r>
      <w:t>DB32/T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20EDB">
    <w:pPr>
      <w:pStyle w:val="65"/>
    </w:pPr>
    <w:r>
      <w:fldChar w:fldCharType="begin"/>
    </w:r>
    <w:r>
      <w:instrText xml:space="preserve"> STYLEREF  标准文件_文件编号  \* MERGEFORMAT </w:instrText>
    </w:r>
    <w:r>
      <w:fldChar w:fldCharType="separate"/>
    </w:r>
    <w:r>
      <w:t>DB32/T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F6CD83">
    <w:pPr>
      <w:pStyle w:val="66"/>
    </w:pPr>
    <w:r>
      <w:fldChar w:fldCharType="begin"/>
    </w:r>
    <w:r>
      <w:instrText xml:space="preserve"> STYLEREF  标准文件_文件编号 \* MERGEFORMAT </w:instrText>
    </w:r>
    <w:r>
      <w:fldChar w:fldCharType="separate"/>
    </w:r>
    <w:r>
      <w:t>DB32/T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8"/>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3"/>
      <w:suff w:val="nothing"/>
      <w:lvlText w:val="%1%2.%3　"/>
      <w:lvlJc w:val="left"/>
      <w:pPr>
        <w:ind w:left="0" w:firstLine="0"/>
      </w:pPr>
    </w:lvl>
    <w:lvl w:ilvl="3" w:tentative="0">
      <w:start w:val="1"/>
      <w:numFmt w:val="decimal"/>
      <w:pStyle w:val="122"/>
      <w:suff w:val="nothing"/>
      <w:lvlText w:val="%1%2.%3.%4　"/>
      <w:lvlJc w:val="left"/>
      <w:pPr>
        <w:ind w:left="0" w:firstLine="0"/>
      </w:pPr>
    </w:lvl>
    <w:lvl w:ilvl="4" w:tentative="0">
      <w:start w:val="1"/>
      <w:numFmt w:val="decimal"/>
      <w:pStyle w:val="157"/>
      <w:suff w:val="nothing"/>
      <w:lvlText w:val="%1%2.%3.%4.%5　"/>
      <w:lvlJc w:val="left"/>
      <w:pPr>
        <w:ind w:left="0" w:firstLine="0"/>
      </w:pPr>
    </w:lvl>
    <w:lvl w:ilvl="5" w:tentative="0">
      <w:start w:val="1"/>
      <w:numFmt w:val="decimal"/>
      <w:pStyle w:val="159"/>
      <w:suff w:val="nothing"/>
      <w:lvlText w:val="%1%2.%3.%4.%5.%6　"/>
      <w:lvlJc w:val="left"/>
      <w:pPr>
        <w:ind w:left="0" w:firstLine="0"/>
      </w:pPr>
    </w:lvl>
    <w:lvl w:ilvl="6" w:tentative="0">
      <w:start w:val="1"/>
      <w:numFmt w:val="decimal"/>
      <w:pStyle w:val="162"/>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4"/>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3"/>
      <w:lvlText w:val="%1"/>
      <w:lvlJc w:val="left"/>
      <w:pPr>
        <w:ind w:left="425" w:hanging="425"/>
      </w:pPr>
      <w:rPr>
        <w:rFonts w:hint="eastAsia"/>
      </w:rPr>
    </w:lvl>
    <w:lvl w:ilvl="1" w:tentative="0">
      <w:start w:val="1"/>
      <w:numFmt w:val="decimal"/>
      <w:pStyle w:val="204"/>
      <w:suff w:val="nothing"/>
      <w:lvlText w:val="%10.%2 "/>
      <w:lvlJc w:val="left"/>
      <w:pPr>
        <w:ind w:left="0" w:firstLine="0"/>
      </w:pPr>
      <w:rPr>
        <w:rFonts w:hint="eastAsia" w:ascii="黑体" w:eastAsia="黑体" w:hAnsiTheme="minorHAnsi"/>
        <w:b w:val="0"/>
        <w:i w:val="0"/>
        <w:sz w:val="21"/>
      </w:rPr>
    </w:lvl>
    <w:lvl w:ilvl="2" w:tentative="0">
      <w:start w:val="1"/>
      <w:numFmt w:val="decimal"/>
      <w:pStyle w:val="205"/>
      <w:suff w:val="nothing"/>
      <w:lvlText w:val="%10.%2.%3 "/>
      <w:lvlJc w:val="left"/>
      <w:pPr>
        <w:ind w:left="0" w:firstLine="0"/>
      </w:pPr>
      <w:rPr>
        <w:rFonts w:hint="eastAsia" w:ascii="黑体" w:eastAsia="黑体" w:hAnsiTheme="minorHAnsi"/>
        <w:b w:val="0"/>
        <w:i w:val="0"/>
        <w:sz w:val="21"/>
      </w:rPr>
    </w:lvl>
    <w:lvl w:ilvl="3" w:tentative="0">
      <w:start w:val="1"/>
      <w:numFmt w:val="decimal"/>
      <w:pStyle w:val="206"/>
      <w:suff w:val="nothing"/>
      <w:lvlText w:val="%10.%2.%3.%4 "/>
      <w:lvlJc w:val="left"/>
      <w:pPr>
        <w:ind w:left="0" w:firstLine="0"/>
      </w:pPr>
      <w:rPr>
        <w:rFonts w:hint="eastAsia" w:ascii="黑体" w:eastAsia="黑体" w:hAnsiTheme="minorHAnsi"/>
        <w:b w:val="0"/>
        <w:i w:val="0"/>
        <w:sz w:val="21"/>
      </w:rPr>
    </w:lvl>
    <w:lvl w:ilvl="4" w:tentative="0">
      <w:start w:val="1"/>
      <w:numFmt w:val="decimal"/>
      <w:pStyle w:val="207"/>
      <w:suff w:val="nothing"/>
      <w:lvlText w:val="%10.%2.%3.%4.%5 "/>
      <w:lvlJc w:val="left"/>
      <w:pPr>
        <w:ind w:left="0" w:firstLine="0"/>
      </w:pPr>
      <w:rPr>
        <w:rFonts w:hint="eastAsia" w:ascii="黑体" w:eastAsia="黑体" w:hAnsiTheme="minorHAnsi"/>
        <w:b w:val="0"/>
        <w:i w:val="0"/>
        <w:sz w:val="21"/>
      </w:rPr>
    </w:lvl>
    <w:lvl w:ilvl="5" w:tentative="0">
      <w:start w:val="1"/>
      <w:numFmt w:val="decimal"/>
      <w:pStyle w:val="208"/>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5"/>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1"/>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4"/>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9"/>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6"/>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6"/>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1"/>
      <w:lvlText w:val=""/>
      <w:lvlJc w:val="left"/>
      <w:pPr>
        <w:ind w:left="851" w:hanging="431"/>
      </w:pPr>
      <w:rPr>
        <w:rFonts w:hint="default" w:ascii="Symbol" w:hAnsi="Symbol"/>
        <w:sz w:val="21"/>
      </w:rPr>
    </w:lvl>
    <w:lvl w:ilvl="2" w:tentative="0">
      <w:start w:val="1"/>
      <w:numFmt w:val="bullet"/>
      <w:pStyle w:val="176"/>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5"/>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8"/>
      <w:lvlText w:val="%1)"/>
      <w:lvlJc w:val="left"/>
      <w:pPr>
        <w:tabs>
          <w:tab w:val="left" w:pos="851"/>
        </w:tabs>
        <w:ind w:left="851" w:hanging="426"/>
      </w:pPr>
      <w:rPr>
        <w:rFonts w:hint="eastAsia" w:ascii="宋体" w:hAnsi="Times New Roman" w:eastAsia="宋体"/>
        <w:sz w:val="21"/>
      </w:rPr>
    </w:lvl>
    <w:lvl w:ilvl="1" w:tentative="0">
      <w:start w:val="1"/>
      <w:numFmt w:val="decimal"/>
      <w:pStyle w:val="113"/>
      <w:lvlText w:val="%2)"/>
      <w:lvlJc w:val="left"/>
      <w:pPr>
        <w:tabs>
          <w:tab w:val="left" w:pos="1276"/>
        </w:tabs>
        <w:ind w:left="1276" w:hanging="425"/>
      </w:pPr>
      <w:rPr>
        <w:rFonts w:hint="eastAsia" w:ascii="宋体" w:hAnsi="Times New Roman" w:eastAsia="宋体"/>
        <w:sz w:val="21"/>
      </w:rPr>
    </w:lvl>
    <w:lvl w:ilvl="2" w:tentative="0">
      <w:start w:val="1"/>
      <w:numFmt w:val="decimal"/>
      <w:pStyle w:val="121"/>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2"/>
      <w:lvlText w:val="%1"/>
      <w:lvlJc w:val="left"/>
      <w:pPr>
        <w:ind w:left="420" w:hanging="420"/>
      </w:pPr>
      <w:rPr>
        <w:rFonts w:hint="eastAsia"/>
      </w:rPr>
    </w:lvl>
    <w:lvl w:ilvl="1" w:tentative="0">
      <w:start w:val="1"/>
      <w:numFmt w:val="decimal"/>
      <w:pStyle w:val="87"/>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7"/>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20"/>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7"/>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8"/>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3"/>
      <w:suff w:val="space"/>
      <w:lvlText w:val="%1"/>
      <w:lvlJc w:val="left"/>
      <w:pPr>
        <w:ind w:left="425" w:hanging="425"/>
      </w:pPr>
      <w:rPr>
        <w:rFonts w:hint="eastAsia"/>
      </w:rPr>
    </w:lvl>
    <w:lvl w:ilvl="1" w:tentative="0">
      <w:start w:val="1"/>
      <w:numFmt w:val="decimal"/>
      <w:pStyle w:val="81"/>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5"/>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6"/>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3"/>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80"/>
      <w:suff w:val="nothing"/>
      <w:lvlText w:val="附录%1"/>
      <w:lvlJc w:val="left"/>
      <w:pPr>
        <w:ind w:left="0" w:firstLine="0"/>
      </w:pPr>
      <w:rPr>
        <w:rFonts w:hint="eastAsia"/>
        <w:spacing w:val="100"/>
      </w:rPr>
    </w:lvl>
    <w:lvl w:ilvl="1" w:tentative="0">
      <w:start w:val="1"/>
      <w:numFmt w:val="decimal"/>
      <w:pStyle w:val="82"/>
      <w:suff w:val="nothing"/>
      <w:lvlText w:val="%1.%2　"/>
      <w:lvlJc w:val="left"/>
      <w:pPr>
        <w:ind w:left="0" w:firstLine="0"/>
      </w:pPr>
      <w:rPr>
        <w:rFonts w:hint="eastAsia" w:ascii="黑体" w:eastAsia="黑体"/>
        <w:b w:val="0"/>
        <w:i w:val="0"/>
        <w:sz w:val="21"/>
      </w:rPr>
    </w:lvl>
    <w:lvl w:ilvl="2" w:tentative="0">
      <w:start w:val="1"/>
      <w:numFmt w:val="decimal"/>
      <w:pStyle w:val="83"/>
      <w:suff w:val="nothing"/>
      <w:lvlText w:val="%1.%2.%3　"/>
      <w:lvlJc w:val="left"/>
      <w:pPr>
        <w:ind w:left="0" w:firstLine="0"/>
      </w:pPr>
      <w:rPr>
        <w:rFonts w:hint="eastAsia" w:ascii="黑体" w:eastAsia="黑体"/>
        <w:b w:val="0"/>
        <w:i w:val="0"/>
        <w:sz w:val="21"/>
      </w:rPr>
    </w:lvl>
    <w:lvl w:ilvl="3" w:tentative="0">
      <w:start w:val="1"/>
      <w:numFmt w:val="decimal"/>
      <w:pStyle w:val="85"/>
      <w:suff w:val="nothing"/>
      <w:lvlText w:val="%1.%2.%3.%4　"/>
      <w:lvlJc w:val="left"/>
      <w:pPr>
        <w:ind w:left="0" w:firstLine="0"/>
      </w:pPr>
      <w:rPr>
        <w:rFonts w:hint="eastAsia" w:ascii="黑体" w:eastAsia="黑体"/>
        <w:b w:val="0"/>
        <w:i w:val="0"/>
        <w:sz w:val="21"/>
      </w:rPr>
    </w:lvl>
    <w:lvl w:ilvl="4" w:tentative="0">
      <w:start w:val="1"/>
      <w:numFmt w:val="decimal"/>
      <w:pStyle w:val="86"/>
      <w:suff w:val="nothing"/>
      <w:lvlText w:val="%1.%2.%3.%4.%5　"/>
      <w:lvlJc w:val="left"/>
      <w:pPr>
        <w:ind w:left="0" w:firstLine="0"/>
      </w:pPr>
      <w:rPr>
        <w:rFonts w:hint="eastAsia" w:ascii="黑体" w:eastAsia="黑体"/>
        <w:b w:val="0"/>
        <w:i w:val="0"/>
        <w:sz w:val="21"/>
      </w:rPr>
    </w:lvl>
    <w:lvl w:ilvl="5" w:tentative="0">
      <w:start w:val="1"/>
      <w:numFmt w:val="decimal"/>
      <w:pStyle w:val="88"/>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2"/>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1"/>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7"/>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6"/>
      <w:suff w:val="nothing"/>
      <w:lvlText w:val="%1"/>
      <w:lvlJc w:val="left"/>
      <w:pPr>
        <w:ind w:left="0" w:firstLine="0"/>
      </w:pPr>
      <w:rPr>
        <w:rFonts w:hint="eastAsia"/>
      </w:rPr>
    </w:lvl>
    <w:lvl w:ilvl="1" w:tentative="0">
      <w:start w:val="1"/>
      <w:numFmt w:val="decimal"/>
      <w:pStyle w:val="108"/>
      <w:suff w:val="nothing"/>
      <w:lvlText w:val="%1%2　"/>
      <w:lvlJc w:val="left"/>
      <w:pPr>
        <w:ind w:left="0" w:firstLine="0"/>
      </w:pPr>
      <w:rPr>
        <w:rFonts w:hint="eastAsia" w:ascii="黑体" w:eastAsia="黑体"/>
        <w:b w:val="0"/>
        <w:i w:val="0"/>
        <w:sz w:val="21"/>
      </w:rPr>
    </w:lvl>
    <w:lvl w:ilvl="2" w:tentative="0">
      <w:start w:val="1"/>
      <w:numFmt w:val="decimal"/>
      <w:pStyle w:val="109"/>
      <w:suff w:val="nothing"/>
      <w:lvlText w:val="%1%2.%3　"/>
      <w:lvlJc w:val="left"/>
      <w:pPr>
        <w:ind w:left="993" w:firstLine="0"/>
      </w:pPr>
      <w:rPr>
        <w:rFonts w:hint="default"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9"/>
      <w:suff w:val="nothing"/>
      <w:lvlText w:val="%1%2.%3.%4　"/>
      <w:lvlJc w:val="left"/>
      <w:pPr>
        <w:ind w:left="0" w:firstLine="0"/>
      </w:pPr>
      <w:rPr>
        <w:rFonts w:hint="eastAsia" w:ascii="黑体" w:hAnsi="黑体" w:eastAsia="黑体"/>
        <w:b w:val="0"/>
        <w:i w:val="0"/>
        <w:sz w:val="21"/>
      </w:rPr>
    </w:lvl>
    <w:lvl w:ilvl="4" w:tentative="0">
      <w:start w:val="1"/>
      <w:numFmt w:val="decimal"/>
      <w:pStyle w:val="98"/>
      <w:suff w:val="nothing"/>
      <w:lvlText w:val="%1%2.%3.%4.%5　"/>
      <w:lvlJc w:val="left"/>
      <w:pPr>
        <w:ind w:left="142" w:firstLine="0"/>
      </w:pPr>
      <w:rPr>
        <w:rFonts w:hint="eastAsia" w:ascii="黑体" w:eastAsia="黑体"/>
        <w:b w:val="0"/>
        <w:i w:val="0"/>
        <w:color w:val="000000" w:themeColor="text1"/>
        <w:sz w:val="21"/>
        <w14:textFill>
          <w14:solidFill>
            <w14:schemeClr w14:val="tx1"/>
          </w14:solidFill>
        </w14:textFill>
      </w:rPr>
    </w:lvl>
    <w:lvl w:ilvl="5" w:tentative="0">
      <w:start w:val="1"/>
      <w:numFmt w:val="decimal"/>
      <w:pStyle w:val="102"/>
      <w:suff w:val="nothing"/>
      <w:lvlText w:val="%1%2.%3.%4.%5.%6　"/>
      <w:lvlJc w:val="left"/>
      <w:pPr>
        <w:ind w:left="0" w:firstLine="0"/>
      </w:pPr>
      <w:rPr>
        <w:rFonts w:hint="eastAsia" w:ascii="黑体" w:eastAsia="黑体"/>
        <w:b w:val="0"/>
        <w:i w:val="0"/>
        <w:sz w:val="21"/>
      </w:rPr>
    </w:lvl>
    <w:lvl w:ilvl="6" w:tentative="0">
      <w:start w:val="1"/>
      <w:numFmt w:val="decimal"/>
      <w:pStyle w:val="107"/>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9"/>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3"/>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mNDNkOWUxODQ5YzRjYzI2Mjk0ZTQ4NGE4MDc3ZDUifQ=="/>
  </w:docVars>
  <w:rsids>
    <w:rsidRoot w:val="00742E8A"/>
    <w:rsid w:val="0000040A"/>
    <w:rsid w:val="00000A94"/>
    <w:rsid w:val="0000125B"/>
    <w:rsid w:val="00001972"/>
    <w:rsid w:val="00001D9A"/>
    <w:rsid w:val="000052D0"/>
    <w:rsid w:val="0000588E"/>
    <w:rsid w:val="00007B3A"/>
    <w:rsid w:val="000107E0"/>
    <w:rsid w:val="00011FDE"/>
    <w:rsid w:val="00012F97"/>
    <w:rsid w:val="00012FFD"/>
    <w:rsid w:val="00014162"/>
    <w:rsid w:val="00014340"/>
    <w:rsid w:val="00015566"/>
    <w:rsid w:val="00016A9C"/>
    <w:rsid w:val="00021799"/>
    <w:rsid w:val="00022184"/>
    <w:rsid w:val="00022762"/>
    <w:rsid w:val="000238E0"/>
    <w:rsid w:val="000249DB"/>
    <w:rsid w:val="00025848"/>
    <w:rsid w:val="0002595E"/>
    <w:rsid w:val="000303C3"/>
    <w:rsid w:val="00030AD9"/>
    <w:rsid w:val="00031F56"/>
    <w:rsid w:val="000331D3"/>
    <w:rsid w:val="000346A5"/>
    <w:rsid w:val="00034D3D"/>
    <w:rsid w:val="000359C3"/>
    <w:rsid w:val="00035A5A"/>
    <w:rsid w:val="00035A7D"/>
    <w:rsid w:val="000365ED"/>
    <w:rsid w:val="0004249A"/>
    <w:rsid w:val="00043282"/>
    <w:rsid w:val="00044286"/>
    <w:rsid w:val="00045A78"/>
    <w:rsid w:val="00047F28"/>
    <w:rsid w:val="000503AA"/>
    <w:rsid w:val="000506A1"/>
    <w:rsid w:val="000515DD"/>
    <w:rsid w:val="0005265A"/>
    <w:rsid w:val="000539DD"/>
    <w:rsid w:val="00053BD3"/>
    <w:rsid w:val="000556ED"/>
    <w:rsid w:val="00055FE2"/>
    <w:rsid w:val="0005616F"/>
    <w:rsid w:val="00060AA4"/>
    <w:rsid w:val="00060C2E"/>
    <w:rsid w:val="00061033"/>
    <w:rsid w:val="00061680"/>
    <w:rsid w:val="000619E9"/>
    <w:rsid w:val="00062041"/>
    <w:rsid w:val="000622D4"/>
    <w:rsid w:val="0006357D"/>
    <w:rsid w:val="00067F1E"/>
    <w:rsid w:val="00071CC0"/>
    <w:rsid w:val="00073C8C"/>
    <w:rsid w:val="00077B64"/>
    <w:rsid w:val="00080A1C"/>
    <w:rsid w:val="00082317"/>
    <w:rsid w:val="00083658"/>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4F50"/>
    <w:rsid w:val="000B6A0B"/>
    <w:rsid w:val="000C0F6C"/>
    <w:rsid w:val="000C11DB"/>
    <w:rsid w:val="000C13D7"/>
    <w:rsid w:val="000C1492"/>
    <w:rsid w:val="000C2FBD"/>
    <w:rsid w:val="000C4B41"/>
    <w:rsid w:val="000C57D6"/>
    <w:rsid w:val="000C6362"/>
    <w:rsid w:val="000C7666"/>
    <w:rsid w:val="000D0A9C"/>
    <w:rsid w:val="000D1795"/>
    <w:rsid w:val="000D1B0D"/>
    <w:rsid w:val="000D329A"/>
    <w:rsid w:val="000D397D"/>
    <w:rsid w:val="000D4B9C"/>
    <w:rsid w:val="000D4EB6"/>
    <w:rsid w:val="000D753B"/>
    <w:rsid w:val="000D7EF3"/>
    <w:rsid w:val="000E4C9E"/>
    <w:rsid w:val="000E6FD7"/>
    <w:rsid w:val="000F06E1"/>
    <w:rsid w:val="000F0E3C"/>
    <w:rsid w:val="000F19D5"/>
    <w:rsid w:val="000F31A8"/>
    <w:rsid w:val="000F33D3"/>
    <w:rsid w:val="000F4AEA"/>
    <w:rsid w:val="000F633F"/>
    <w:rsid w:val="000F67E9"/>
    <w:rsid w:val="001046FA"/>
    <w:rsid w:val="00104926"/>
    <w:rsid w:val="00113B1E"/>
    <w:rsid w:val="0011711C"/>
    <w:rsid w:val="0012059C"/>
    <w:rsid w:val="00124E4F"/>
    <w:rsid w:val="0012532B"/>
    <w:rsid w:val="001260B7"/>
    <w:rsid w:val="001265CB"/>
    <w:rsid w:val="00126C09"/>
    <w:rsid w:val="001277C1"/>
    <w:rsid w:val="00127A1D"/>
    <w:rsid w:val="00130F0E"/>
    <w:rsid w:val="001321C6"/>
    <w:rsid w:val="001325C4"/>
    <w:rsid w:val="00133010"/>
    <w:rsid w:val="001338EE"/>
    <w:rsid w:val="00133AAE"/>
    <w:rsid w:val="00135323"/>
    <w:rsid w:val="001356C4"/>
    <w:rsid w:val="00135969"/>
    <w:rsid w:val="00141114"/>
    <w:rsid w:val="00142969"/>
    <w:rsid w:val="001446C2"/>
    <w:rsid w:val="001457E7"/>
    <w:rsid w:val="00145D9D"/>
    <w:rsid w:val="00146212"/>
    <w:rsid w:val="00146388"/>
    <w:rsid w:val="00150F24"/>
    <w:rsid w:val="001529E5"/>
    <w:rsid w:val="00153C7E"/>
    <w:rsid w:val="00156B25"/>
    <w:rsid w:val="00156E1A"/>
    <w:rsid w:val="00157894"/>
    <w:rsid w:val="00157B55"/>
    <w:rsid w:val="00160950"/>
    <w:rsid w:val="001642FA"/>
    <w:rsid w:val="001649EB"/>
    <w:rsid w:val="00164BAF"/>
    <w:rsid w:val="00164FA8"/>
    <w:rsid w:val="00165065"/>
    <w:rsid w:val="00165434"/>
    <w:rsid w:val="0016580B"/>
    <w:rsid w:val="00165F49"/>
    <w:rsid w:val="00166536"/>
    <w:rsid w:val="00166B88"/>
    <w:rsid w:val="0016770A"/>
    <w:rsid w:val="00170804"/>
    <w:rsid w:val="001708E9"/>
    <w:rsid w:val="0017340B"/>
    <w:rsid w:val="00173FB1"/>
    <w:rsid w:val="00176DFD"/>
    <w:rsid w:val="0018299F"/>
    <w:rsid w:val="001852C9"/>
    <w:rsid w:val="00186BB7"/>
    <w:rsid w:val="00190087"/>
    <w:rsid w:val="001913C4"/>
    <w:rsid w:val="00191F6E"/>
    <w:rsid w:val="0019274A"/>
    <w:rsid w:val="0019294B"/>
    <w:rsid w:val="0019348F"/>
    <w:rsid w:val="00193A07"/>
    <w:rsid w:val="00194C95"/>
    <w:rsid w:val="00194DF4"/>
    <w:rsid w:val="00195C34"/>
    <w:rsid w:val="001961A5"/>
    <w:rsid w:val="00196EF5"/>
    <w:rsid w:val="00197F0E"/>
    <w:rsid w:val="001A01C5"/>
    <w:rsid w:val="001A0587"/>
    <w:rsid w:val="001A1A53"/>
    <w:rsid w:val="001A234A"/>
    <w:rsid w:val="001A3A33"/>
    <w:rsid w:val="001A3ED0"/>
    <w:rsid w:val="001A4CF3"/>
    <w:rsid w:val="001B06E8"/>
    <w:rsid w:val="001B4C65"/>
    <w:rsid w:val="001B71D0"/>
    <w:rsid w:val="001B71EE"/>
    <w:rsid w:val="001C04A8"/>
    <w:rsid w:val="001C2C03"/>
    <w:rsid w:val="001C42F7"/>
    <w:rsid w:val="001C49E5"/>
    <w:rsid w:val="001C680C"/>
    <w:rsid w:val="001C7FEA"/>
    <w:rsid w:val="001D0499"/>
    <w:rsid w:val="001D06F3"/>
    <w:rsid w:val="001D0BBE"/>
    <w:rsid w:val="001D0ED4"/>
    <w:rsid w:val="001D212F"/>
    <w:rsid w:val="001D29D7"/>
    <w:rsid w:val="001D2DE7"/>
    <w:rsid w:val="001D30AD"/>
    <w:rsid w:val="001D411C"/>
    <w:rsid w:val="001E16D1"/>
    <w:rsid w:val="001E1B6A"/>
    <w:rsid w:val="001E2484"/>
    <w:rsid w:val="001E3CC4"/>
    <w:rsid w:val="001E4882"/>
    <w:rsid w:val="001E73AB"/>
    <w:rsid w:val="001F092D"/>
    <w:rsid w:val="001F143A"/>
    <w:rsid w:val="001F1605"/>
    <w:rsid w:val="001F2508"/>
    <w:rsid w:val="001F3460"/>
    <w:rsid w:val="001F4816"/>
    <w:rsid w:val="001F4EE9"/>
    <w:rsid w:val="001F523D"/>
    <w:rsid w:val="001F69B4"/>
    <w:rsid w:val="001F77C7"/>
    <w:rsid w:val="00200183"/>
    <w:rsid w:val="00200333"/>
    <w:rsid w:val="0020107D"/>
    <w:rsid w:val="00202AA4"/>
    <w:rsid w:val="002031F7"/>
    <w:rsid w:val="00203343"/>
    <w:rsid w:val="002040E6"/>
    <w:rsid w:val="0020527B"/>
    <w:rsid w:val="00205F2C"/>
    <w:rsid w:val="00206C36"/>
    <w:rsid w:val="00210B15"/>
    <w:rsid w:val="00211E6F"/>
    <w:rsid w:val="002142EA"/>
    <w:rsid w:val="002169BF"/>
    <w:rsid w:val="002204BB"/>
    <w:rsid w:val="00221B79"/>
    <w:rsid w:val="00221C6B"/>
    <w:rsid w:val="0022281E"/>
    <w:rsid w:val="002253A1"/>
    <w:rsid w:val="00225CF8"/>
    <w:rsid w:val="0022708A"/>
    <w:rsid w:val="0022794E"/>
    <w:rsid w:val="00231126"/>
    <w:rsid w:val="002319D2"/>
    <w:rsid w:val="00233D64"/>
    <w:rsid w:val="0023482A"/>
    <w:rsid w:val="002359CB"/>
    <w:rsid w:val="002409D9"/>
    <w:rsid w:val="00243540"/>
    <w:rsid w:val="0024497B"/>
    <w:rsid w:val="0024515B"/>
    <w:rsid w:val="00246021"/>
    <w:rsid w:val="0024666E"/>
    <w:rsid w:val="00247F52"/>
    <w:rsid w:val="00250B25"/>
    <w:rsid w:val="00250BBE"/>
    <w:rsid w:val="002515C2"/>
    <w:rsid w:val="0025194F"/>
    <w:rsid w:val="002538D7"/>
    <w:rsid w:val="00255E75"/>
    <w:rsid w:val="002560F4"/>
    <w:rsid w:val="0026148A"/>
    <w:rsid w:val="00262696"/>
    <w:rsid w:val="00262A29"/>
    <w:rsid w:val="002631E1"/>
    <w:rsid w:val="00263D25"/>
    <w:rsid w:val="002643C3"/>
    <w:rsid w:val="00264A0C"/>
    <w:rsid w:val="002658D7"/>
    <w:rsid w:val="00266EEB"/>
    <w:rsid w:val="00267EF4"/>
    <w:rsid w:val="00270CB8"/>
    <w:rsid w:val="00272145"/>
    <w:rsid w:val="00272B08"/>
    <w:rsid w:val="00273B2C"/>
    <w:rsid w:val="00273FF8"/>
    <w:rsid w:val="002771AC"/>
    <w:rsid w:val="00280699"/>
    <w:rsid w:val="002812B1"/>
    <w:rsid w:val="00281BB8"/>
    <w:rsid w:val="00281E9E"/>
    <w:rsid w:val="00282405"/>
    <w:rsid w:val="002835B1"/>
    <w:rsid w:val="00285170"/>
    <w:rsid w:val="00285361"/>
    <w:rsid w:val="0028686A"/>
    <w:rsid w:val="00292D60"/>
    <w:rsid w:val="00293B30"/>
    <w:rsid w:val="00294D34"/>
    <w:rsid w:val="00294E3B"/>
    <w:rsid w:val="00295AD4"/>
    <w:rsid w:val="00296193"/>
    <w:rsid w:val="00296C66"/>
    <w:rsid w:val="00296DD7"/>
    <w:rsid w:val="00296EBE"/>
    <w:rsid w:val="002974E3"/>
    <w:rsid w:val="00297B09"/>
    <w:rsid w:val="002A084B"/>
    <w:rsid w:val="002A103B"/>
    <w:rsid w:val="002A1260"/>
    <w:rsid w:val="002A1589"/>
    <w:rsid w:val="002A1608"/>
    <w:rsid w:val="002A25DC"/>
    <w:rsid w:val="002A3AAB"/>
    <w:rsid w:val="002A4A51"/>
    <w:rsid w:val="002A4CEA"/>
    <w:rsid w:val="002A5977"/>
    <w:rsid w:val="002A5A13"/>
    <w:rsid w:val="002A757F"/>
    <w:rsid w:val="002A7597"/>
    <w:rsid w:val="002A7F44"/>
    <w:rsid w:val="002B0C40"/>
    <w:rsid w:val="002B1966"/>
    <w:rsid w:val="002B24EA"/>
    <w:rsid w:val="002B2E37"/>
    <w:rsid w:val="002B4508"/>
    <w:rsid w:val="002B5779"/>
    <w:rsid w:val="002B7332"/>
    <w:rsid w:val="002B7F51"/>
    <w:rsid w:val="002C09E7"/>
    <w:rsid w:val="002C1E06"/>
    <w:rsid w:val="002C1E1C"/>
    <w:rsid w:val="002C2F84"/>
    <w:rsid w:val="002C3F07"/>
    <w:rsid w:val="002C5278"/>
    <w:rsid w:val="002C6EDE"/>
    <w:rsid w:val="002C7DF6"/>
    <w:rsid w:val="002C7EBB"/>
    <w:rsid w:val="002D06C1"/>
    <w:rsid w:val="002D42B5"/>
    <w:rsid w:val="002D4F1A"/>
    <w:rsid w:val="002D67CD"/>
    <w:rsid w:val="002D6EC6"/>
    <w:rsid w:val="002D79AC"/>
    <w:rsid w:val="002E039D"/>
    <w:rsid w:val="002E4D5A"/>
    <w:rsid w:val="002E6326"/>
    <w:rsid w:val="002F30E0"/>
    <w:rsid w:val="002F35E4"/>
    <w:rsid w:val="002F3730"/>
    <w:rsid w:val="002F38E1"/>
    <w:rsid w:val="002F7AF6"/>
    <w:rsid w:val="00300E63"/>
    <w:rsid w:val="00302AE3"/>
    <w:rsid w:val="00302F5F"/>
    <w:rsid w:val="00303175"/>
    <w:rsid w:val="0030441D"/>
    <w:rsid w:val="00306063"/>
    <w:rsid w:val="00306486"/>
    <w:rsid w:val="00313B85"/>
    <w:rsid w:val="00317988"/>
    <w:rsid w:val="003221B4"/>
    <w:rsid w:val="0032258D"/>
    <w:rsid w:val="00322E62"/>
    <w:rsid w:val="00324D13"/>
    <w:rsid w:val="00324D2A"/>
    <w:rsid w:val="00324EDD"/>
    <w:rsid w:val="003273F8"/>
    <w:rsid w:val="003331E4"/>
    <w:rsid w:val="00335099"/>
    <w:rsid w:val="00336C64"/>
    <w:rsid w:val="00337162"/>
    <w:rsid w:val="0034194F"/>
    <w:rsid w:val="0034370A"/>
    <w:rsid w:val="00344605"/>
    <w:rsid w:val="003474AA"/>
    <w:rsid w:val="00347A5E"/>
    <w:rsid w:val="00350D1D"/>
    <w:rsid w:val="00352C83"/>
    <w:rsid w:val="00354ED5"/>
    <w:rsid w:val="003615D2"/>
    <w:rsid w:val="0036429C"/>
    <w:rsid w:val="00364A53"/>
    <w:rsid w:val="003654CB"/>
    <w:rsid w:val="00365AA9"/>
    <w:rsid w:val="00365F86"/>
    <w:rsid w:val="00365F87"/>
    <w:rsid w:val="00366E89"/>
    <w:rsid w:val="003705F4"/>
    <w:rsid w:val="00370D58"/>
    <w:rsid w:val="00371316"/>
    <w:rsid w:val="00376713"/>
    <w:rsid w:val="003807BE"/>
    <w:rsid w:val="00381815"/>
    <w:rsid w:val="003819AF"/>
    <w:rsid w:val="003820E9"/>
    <w:rsid w:val="00382DE7"/>
    <w:rsid w:val="00384FFC"/>
    <w:rsid w:val="003872FC"/>
    <w:rsid w:val="00387ADC"/>
    <w:rsid w:val="00390020"/>
    <w:rsid w:val="003903D6"/>
    <w:rsid w:val="00390EE6"/>
    <w:rsid w:val="0039118F"/>
    <w:rsid w:val="00392AD7"/>
    <w:rsid w:val="00392BFA"/>
    <w:rsid w:val="003938D9"/>
    <w:rsid w:val="00394376"/>
    <w:rsid w:val="003943FF"/>
    <w:rsid w:val="00395700"/>
    <w:rsid w:val="00395742"/>
    <w:rsid w:val="003974EB"/>
    <w:rsid w:val="00397CC5"/>
    <w:rsid w:val="003A1582"/>
    <w:rsid w:val="003A3531"/>
    <w:rsid w:val="003A4077"/>
    <w:rsid w:val="003A5C23"/>
    <w:rsid w:val="003B09AD"/>
    <w:rsid w:val="003B1F18"/>
    <w:rsid w:val="003B5BF0"/>
    <w:rsid w:val="003B60BF"/>
    <w:rsid w:val="003B6BE3"/>
    <w:rsid w:val="003C010C"/>
    <w:rsid w:val="003C0A6C"/>
    <w:rsid w:val="003C0CA8"/>
    <w:rsid w:val="003C14F8"/>
    <w:rsid w:val="003C5A43"/>
    <w:rsid w:val="003D0519"/>
    <w:rsid w:val="003D0FF6"/>
    <w:rsid w:val="003D262C"/>
    <w:rsid w:val="003D32AE"/>
    <w:rsid w:val="003D6D61"/>
    <w:rsid w:val="003D79C6"/>
    <w:rsid w:val="003E091D"/>
    <w:rsid w:val="003E1C53"/>
    <w:rsid w:val="003E2A69"/>
    <w:rsid w:val="003E2D49"/>
    <w:rsid w:val="003E2FD4"/>
    <w:rsid w:val="003E49F6"/>
    <w:rsid w:val="003E660F"/>
    <w:rsid w:val="003F0841"/>
    <w:rsid w:val="003F23D3"/>
    <w:rsid w:val="003F3F08"/>
    <w:rsid w:val="003F49F1"/>
    <w:rsid w:val="003F6272"/>
    <w:rsid w:val="003F75E6"/>
    <w:rsid w:val="003F7C08"/>
    <w:rsid w:val="00400E72"/>
    <w:rsid w:val="00401400"/>
    <w:rsid w:val="00404869"/>
    <w:rsid w:val="00405884"/>
    <w:rsid w:val="00407D39"/>
    <w:rsid w:val="0041477A"/>
    <w:rsid w:val="0041628B"/>
    <w:rsid w:val="004167A3"/>
    <w:rsid w:val="004240D1"/>
    <w:rsid w:val="00432DAA"/>
    <w:rsid w:val="00434305"/>
    <w:rsid w:val="00434C4E"/>
    <w:rsid w:val="00435DF7"/>
    <w:rsid w:val="00437189"/>
    <w:rsid w:val="00437970"/>
    <w:rsid w:val="0044083F"/>
    <w:rsid w:val="00441AE7"/>
    <w:rsid w:val="00443886"/>
    <w:rsid w:val="00445574"/>
    <w:rsid w:val="004467FB"/>
    <w:rsid w:val="00446F98"/>
    <w:rsid w:val="004513B4"/>
    <w:rsid w:val="00451BD1"/>
    <w:rsid w:val="00452D6B"/>
    <w:rsid w:val="00454484"/>
    <w:rsid w:val="0045517B"/>
    <w:rsid w:val="00460233"/>
    <w:rsid w:val="00462C6E"/>
    <w:rsid w:val="00463B77"/>
    <w:rsid w:val="00463C7B"/>
    <w:rsid w:val="004644A6"/>
    <w:rsid w:val="004659BD"/>
    <w:rsid w:val="00470775"/>
    <w:rsid w:val="004742A2"/>
    <w:rsid w:val="004746B1"/>
    <w:rsid w:val="004746E6"/>
    <w:rsid w:val="004753BB"/>
    <w:rsid w:val="0047583F"/>
    <w:rsid w:val="00475DE8"/>
    <w:rsid w:val="00481C44"/>
    <w:rsid w:val="00483497"/>
    <w:rsid w:val="00484851"/>
    <w:rsid w:val="00484936"/>
    <w:rsid w:val="00485C89"/>
    <w:rsid w:val="00486BE3"/>
    <w:rsid w:val="004905E4"/>
    <w:rsid w:val="00490A89"/>
    <w:rsid w:val="00490AB4"/>
    <w:rsid w:val="00492F02"/>
    <w:rsid w:val="004939AE"/>
    <w:rsid w:val="0049778E"/>
    <w:rsid w:val="004977D0"/>
    <w:rsid w:val="004A12DF"/>
    <w:rsid w:val="004A17E6"/>
    <w:rsid w:val="004A1BA8"/>
    <w:rsid w:val="004A4B57"/>
    <w:rsid w:val="004A63FA"/>
    <w:rsid w:val="004B0272"/>
    <w:rsid w:val="004B0812"/>
    <w:rsid w:val="004B2701"/>
    <w:rsid w:val="004B2B26"/>
    <w:rsid w:val="004B2E1B"/>
    <w:rsid w:val="004B3097"/>
    <w:rsid w:val="004B3AA8"/>
    <w:rsid w:val="004B3E93"/>
    <w:rsid w:val="004B4B2C"/>
    <w:rsid w:val="004B565A"/>
    <w:rsid w:val="004B5D78"/>
    <w:rsid w:val="004C1FBC"/>
    <w:rsid w:val="004C26C9"/>
    <w:rsid w:val="004C3F1D"/>
    <w:rsid w:val="004C458D"/>
    <w:rsid w:val="004C7556"/>
    <w:rsid w:val="004C7E8B"/>
    <w:rsid w:val="004C7E9D"/>
    <w:rsid w:val="004C7F67"/>
    <w:rsid w:val="004D076D"/>
    <w:rsid w:val="004D0EF1"/>
    <w:rsid w:val="004D1379"/>
    <w:rsid w:val="004D2253"/>
    <w:rsid w:val="004D2849"/>
    <w:rsid w:val="004D4406"/>
    <w:rsid w:val="004D5D1F"/>
    <w:rsid w:val="004D62A3"/>
    <w:rsid w:val="004D7C42"/>
    <w:rsid w:val="004E0465"/>
    <w:rsid w:val="004E127B"/>
    <w:rsid w:val="004E1849"/>
    <w:rsid w:val="004E1C0A"/>
    <w:rsid w:val="004E2B06"/>
    <w:rsid w:val="004E30C5"/>
    <w:rsid w:val="004E4AA5"/>
    <w:rsid w:val="004E4AEE"/>
    <w:rsid w:val="004E59E3"/>
    <w:rsid w:val="004E61DF"/>
    <w:rsid w:val="004E67C0"/>
    <w:rsid w:val="004F08C3"/>
    <w:rsid w:val="004F0ECF"/>
    <w:rsid w:val="004F391A"/>
    <w:rsid w:val="004F395E"/>
    <w:rsid w:val="004F3CFB"/>
    <w:rsid w:val="004F3D9C"/>
    <w:rsid w:val="004F6456"/>
    <w:rsid w:val="004F696E"/>
    <w:rsid w:val="004F6C71"/>
    <w:rsid w:val="00501139"/>
    <w:rsid w:val="00502197"/>
    <w:rsid w:val="0050363E"/>
    <w:rsid w:val="005039BC"/>
    <w:rsid w:val="005043BB"/>
    <w:rsid w:val="00504A3D"/>
    <w:rsid w:val="00505767"/>
    <w:rsid w:val="00505BFC"/>
    <w:rsid w:val="005073F0"/>
    <w:rsid w:val="00507BB3"/>
    <w:rsid w:val="00510A7B"/>
    <w:rsid w:val="0051206D"/>
    <w:rsid w:val="00512F6E"/>
    <w:rsid w:val="00513038"/>
    <w:rsid w:val="005139DA"/>
    <w:rsid w:val="00514174"/>
    <w:rsid w:val="00516088"/>
    <w:rsid w:val="00516B0B"/>
    <w:rsid w:val="00521548"/>
    <w:rsid w:val="005220EC"/>
    <w:rsid w:val="005225B5"/>
    <w:rsid w:val="00523F95"/>
    <w:rsid w:val="00524D65"/>
    <w:rsid w:val="005258D4"/>
    <w:rsid w:val="00525B16"/>
    <w:rsid w:val="00525B82"/>
    <w:rsid w:val="00527E35"/>
    <w:rsid w:val="00533D04"/>
    <w:rsid w:val="00534804"/>
    <w:rsid w:val="00534BDF"/>
    <w:rsid w:val="005350AE"/>
    <w:rsid w:val="005354EA"/>
    <w:rsid w:val="0053585F"/>
    <w:rsid w:val="00535EC4"/>
    <w:rsid w:val="00535ED9"/>
    <w:rsid w:val="0053692B"/>
    <w:rsid w:val="00537572"/>
    <w:rsid w:val="00537FE9"/>
    <w:rsid w:val="00541853"/>
    <w:rsid w:val="00543BDA"/>
    <w:rsid w:val="005441CC"/>
    <w:rsid w:val="00544D22"/>
    <w:rsid w:val="005479DA"/>
    <w:rsid w:val="00547BCC"/>
    <w:rsid w:val="0055013B"/>
    <w:rsid w:val="00551F6F"/>
    <w:rsid w:val="00555044"/>
    <w:rsid w:val="00561475"/>
    <w:rsid w:val="005642C6"/>
    <w:rsid w:val="0056487B"/>
    <w:rsid w:val="00564E4C"/>
    <w:rsid w:val="00564FB9"/>
    <w:rsid w:val="005703F4"/>
    <w:rsid w:val="00570F4D"/>
    <w:rsid w:val="00573BD7"/>
    <w:rsid w:val="00573D9E"/>
    <w:rsid w:val="005801E3"/>
    <w:rsid w:val="0058023F"/>
    <w:rsid w:val="00581802"/>
    <w:rsid w:val="005836A8"/>
    <w:rsid w:val="0058409C"/>
    <w:rsid w:val="00584262"/>
    <w:rsid w:val="005864E1"/>
    <w:rsid w:val="00586630"/>
    <w:rsid w:val="00587ADD"/>
    <w:rsid w:val="00591E27"/>
    <w:rsid w:val="00596160"/>
    <w:rsid w:val="005966E2"/>
    <w:rsid w:val="00597007"/>
    <w:rsid w:val="005A0966"/>
    <w:rsid w:val="005A11B7"/>
    <w:rsid w:val="005A260B"/>
    <w:rsid w:val="005A3DE0"/>
    <w:rsid w:val="005A4A1B"/>
    <w:rsid w:val="005A6BF8"/>
    <w:rsid w:val="005A7830"/>
    <w:rsid w:val="005A7FCE"/>
    <w:rsid w:val="005B0F3F"/>
    <w:rsid w:val="005B4903"/>
    <w:rsid w:val="005B51CE"/>
    <w:rsid w:val="005B5885"/>
    <w:rsid w:val="005B5CD7"/>
    <w:rsid w:val="005B6CF6"/>
    <w:rsid w:val="005B7422"/>
    <w:rsid w:val="005C29B8"/>
    <w:rsid w:val="005C4524"/>
    <w:rsid w:val="005C5F21"/>
    <w:rsid w:val="005C7156"/>
    <w:rsid w:val="005D0C75"/>
    <w:rsid w:val="005D3AED"/>
    <w:rsid w:val="005D4171"/>
    <w:rsid w:val="005D6A95"/>
    <w:rsid w:val="005D6B2C"/>
    <w:rsid w:val="005D6D9C"/>
    <w:rsid w:val="005E2335"/>
    <w:rsid w:val="005E335C"/>
    <w:rsid w:val="005E34CA"/>
    <w:rsid w:val="005E3C18"/>
    <w:rsid w:val="005E57AB"/>
    <w:rsid w:val="005E6812"/>
    <w:rsid w:val="005E7881"/>
    <w:rsid w:val="005E78E0"/>
    <w:rsid w:val="005F0D9C"/>
    <w:rsid w:val="005F12C6"/>
    <w:rsid w:val="005F284E"/>
    <w:rsid w:val="005F4712"/>
    <w:rsid w:val="005F6EA0"/>
    <w:rsid w:val="005F7827"/>
    <w:rsid w:val="005F7C2C"/>
    <w:rsid w:val="006015CE"/>
    <w:rsid w:val="00604784"/>
    <w:rsid w:val="00606419"/>
    <w:rsid w:val="00607D29"/>
    <w:rsid w:val="00612952"/>
    <w:rsid w:val="0061315B"/>
    <w:rsid w:val="00614CC1"/>
    <w:rsid w:val="00615A9D"/>
    <w:rsid w:val="0061734B"/>
    <w:rsid w:val="00617387"/>
    <w:rsid w:val="006205D6"/>
    <w:rsid w:val="006252D8"/>
    <w:rsid w:val="006259BC"/>
    <w:rsid w:val="0062636B"/>
    <w:rsid w:val="00631AAA"/>
    <w:rsid w:val="00632182"/>
    <w:rsid w:val="00632AE0"/>
    <w:rsid w:val="00632C0C"/>
    <w:rsid w:val="006337BC"/>
    <w:rsid w:val="00633C17"/>
    <w:rsid w:val="00634D9E"/>
    <w:rsid w:val="00636E3E"/>
    <w:rsid w:val="006379F7"/>
    <w:rsid w:val="00637E4D"/>
    <w:rsid w:val="00640620"/>
    <w:rsid w:val="00640D2D"/>
    <w:rsid w:val="00641A1F"/>
    <w:rsid w:val="0064285C"/>
    <w:rsid w:val="00643C70"/>
    <w:rsid w:val="00645904"/>
    <w:rsid w:val="00651ACB"/>
    <w:rsid w:val="00651C47"/>
    <w:rsid w:val="00652AB2"/>
    <w:rsid w:val="00653404"/>
    <w:rsid w:val="00653FED"/>
    <w:rsid w:val="00654326"/>
    <w:rsid w:val="00654EC0"/>
    <w:rsid w:val="0065525B"/>
    <w:rsid w:val="00655D4F"/>
    <w:rsid w:val="00655E03"/>
    <w:rsid w:val="00656D29"/>
    <w:rsid w:val="00660C60"/>
    <w:rsid w:val="006640E5"/>
    <w:rsid w:val="006646F1"/>
    <w:rsid w:val="00664929"/>
    <w:rsid w:val="00664F62"/>
    <w:rsid w:val="006655E1"/>
    <w:rsid w:val="00672060"/>
    <w:rsid w:val="00672BFD"/>
    <w:rsid w:val="006770F4"/>
    <w:rsid w:val="00677A84"/>
    <w:rsid w:val="0068026D"/>
    <w:rsid w:val="00680917"/>
    <w:rsid w:val="00680A27"/>
    <w:rsid w:val="006816A4"/>
    <w:rsid w:val="006819B8"/>
    <w:rsid w:val="00682375"/>
    <w:rsid w:val="006826C8"/>
    <w:rsid w:val="006840A6"/>
    <w:rsid w:val="006850CD"/>
    <w:rsid w:val="00685AAB"/>
    <w:rsid w:val="006878A1"/>
    <w:rsid w:val="00687B53"/>
    <w:rsid w:val="00693401"/>
    <w:rsid w:val="00695D22"/>
    <w:rsid w:val="006A03AE"/>
    <w:rsid w:val="006A07AA"/>
    <w:rsid w:val="006A1006"/>
    <w:rsid w:val="006A1109"/>
    <w:rsid w:val="006A17CC"/>
    <w:rsid w:val="006A25B4"/>
    <w:rsid w:val="006A25E5"/>
    <w:rsid w:val="006A2B46"/>
    <w:rsid w:val="006A336D"/>
    <w:rsid w:val="006A37B9"/>
    <w:rsid w:val="006A667F"/>
    <w:rsid w:val="006B19C7"/>
    <w:rsid w:val="006B2672"/>
    <w:rsid w:val="006B3A3C"/>
    <w:rsid w:val="006B54BF"/>
    <w:rsid w:val="006B5BFE"/>
    <w:rsid w:val="006B5F44"/>
    <w:rsid w:val="006B5F90"/>
    <w:rsid w:val="006B5FBE"/>
    <w:rsid w:val="006B62E4"/>
    <w:rsid w:val="006C114C"/>
    <w:rsid w:val="006C1BBA"/>
    <w:rsid w:val="006C2079"/>
    <w:rsid w:val="006C414A"/>
    <w:rsid w:val="006C5A62"/>
    <w:rsid w:val="006C5D68"/>
    <w:rsid w:val="006C5E0E"/>
    <w:rsid w:val="006C6976"/>
    <w:rsid w:val="006C6DD0"/>
    <w:rsid w:val="006C75AB"/>
    <w:rsid w:val="006D04EA"/>
    <w:rsid w:val="006D0703"/>
    <w:rsid w:val="006D0AB7"/>
    <w:rsid w:val="006D16C4"/>
    <w:rsid w:val="006D3E96"/>
    <w:rsid w:val="006D4515"/>
    <w:rsid w:val="006D4BB1"/>
    <w:rsid w:val="006D588D"/>
    <w:rsid w:val="006D6593"/>
    <w:rsid w:val="006E23EA"/>
    <w:rsid w:val="006E31E0"/>
    <w:rsid w:val="006E410C"/>
    <w:rsid w:val="006E5C2D"/>
    <w:rsid w:val="006E7776"/>
    <w:rsid w:val="006F03A8"/>
    <w:rsid w:val="006F2AC5"/>
    <w:rsid w:val="006F2ACA"/>
    <w:rsid w:val="006F2ADC"/>
    <w:rsid w:val="006F2BFE"/>
    <w:rsid w:val="006F31E9"/>
    <w:rsid w:val="006F6284"/>
    <w:rsid w:val="007002C5"/>
    <w:rsid w:val="00704387"/>
    <w:rsid w:val="00706C27"/>
    <w:rsid w:val="00707669"/>
    <w:rsid w:val="007079AE"/>
    <w:rsid w:val="00707E73"/>
    <w:rsid w:val="00710A7B"/>
    <w:rsid w:val="00711B7E"/>
    <w:rsid w:val="00711CBA"/>
    <w:rsid w:val="00711E13"/>
    <w:rsid w:val="00711FB5"/>
    <w:rsid w:val="00712A01"/>
    <w:rsid w:val="00713959"/>
    <w:rsid w:val="00714F58"/>
    <w:rsid w:val="007178A1"/>
    <w:rsid w:val="00721ACA"/>
    <w:rsid w:val="00722FBF"/>
    <w:rsid w:val="00722FC2"/>
    <w:rsid w:val="00724879"/>
    <w:rsid w:val="00724E1B"/>
    <w:rsid w:val="00725949"/>
    <w:rsid w:val="00727FA2"/>
    <w:rsid w:val="007322D9"/>
    <w:rsid w:val="00732BC0"/>
    <w:rsid w:val="0073691E"/>
    <w:rsid w:val="0073720F"/>
    <w:rsid w:val="007372A5"/>
    <w:rsid w:val="00737796"/>
    <w:rsid w:val="00737939"/>
    <w:rsid w:val="00737E24"/>
    <w:rsid w:val="00740B5B"/>
    <w:rsid w:val="0074165C"/>
    <w:rsid w:val="00741D54"/>
    <w:rsid w:val="00742C35"/>
    <w:rsid w:val="00742E8A"/>
    <w:rsid w:val="00743085"/>
    <w:rsid w:val="007432CA"/>
    <w:rsid w:val="007439E3"/>
    <w:rsid w:val="007439EB"/>
    <w:rsid w:val="00743CB4"/>
    <w:rsid w:val="00743F0A"/>
    <w:rsid w:val="007444E8"/>
    <w:rsid w:val="0074548E"/>
    <w:rsid w:val="00745773"/>
    <w:rsid w:val="00746800"/>
    <w:rsid w:val="007470B5"/>
    <w:rsid w:val="007501A8"/>
    <w:rsid w:val="00750D61"/>
    <w:rsid w:val="00750EE1"/>
    <w:rsid w:val="00752B4D"/>
    <w:rsid w:val="00753209"/>
    <w:rsid w:val="00753529"/>
    <w:rsid w:val="00754B41"/>
    <w:rsid w:val="00755401"/>
    <w:rsid w:val="00755402"/>
    <w:rsid w:val="00756B26"/>
    <w:rsid w:val="00756EDF"/>
    <w:rsid w:val="007600E3"/>
    <w:rsid w:val="00764BB8"/>
    <w:rsid w:val="00765C43"/>
    <w:rsid w:val="00765EFB"/>
    <w:rsid w:val="007671CA"/>
    <w:rsid w:val="00767665"/>
    <w:rsid w:val="00767C61"/>
    <w:rsid w:val="0077008A"/>
    <w:rsid w:val="00773C1F"/>
    <w:rsid w:val="00774DA4"/>
    <w:rsid w:val="007760B4"/>
    <w:rsid w:val="00776599"/>
    <w:rsid w:val="0078114B"/>
    <w:rsid w:val="00781621"/>
    <w:rsid w:val="00781DD2"/>
    <w:rsid w:val="0078356D"/>
    <w:rsid w:val="00783ECF"/>
    <w:rsid w:val="0078413A"/>
    <w:rsid w:val="0079123E"/>
    <w:rsid w:val="00795651"/>
    <w:rsid w:val="007959E8"/>
    <w:rsid w:val="00795E9C"/>
    <w:rsid w:val="00796877"/>
    <w:rsid w:val="00797493"/>
    <w:rsid w:val="007A0521"/>
    <w:rsid w:val="007A2336"/>
    <w:rsid w:val="007A2E12"/>
    <w:rsid w:val="007A3475"/>
    <w:rsid w:val="007A369B"/>
    <w:rsid w:val="007A41C8"/>
    <w:rsid w:val="007A46BF"/>
    <w:rsid w:val="007A54CE"/>
    <w:rsid w:val="007A5781"/>
    <w:rsid w:val="007A6FD9"/>
    <w:rsid w:val="007A7FFA"/>
    <w:rsid w:val="007B04EB"/>
    <w:rsid w:val="007B0D4F"/>
    <w:rsid w:val="007B5A3D"/>
    <w:rsid w:val="007B5B95"/>
    <w:rsid w:val="007B5E02"/>
    <w:rsid w:val="007B68EA"/>
    <w:rsid w:val="007B7453"/>
    <w:rsid w:val="007C1E8B"/>
    <w:rsid w:val="007C2D89"/>
    <w:rsid w:val="007C4593"/>
    <w:rsid w:val="007C5309"/>
    <w:rsid w:val="007C6069"/>
    <w:rsid w:val="007D06C4"/>
    <w:rsid w:val="007D079F"/>
    <w:rsid w:val="007D1352"/>
    <w:rsid w:val="007D2508"/>
    <w:rsid w:val="007D260B"/>
    <w:rsid w:val="007D346A"/>
    <w:rsid w:val="007D6518"/>
    <w:rsid w:val="007D7409"/>
    <w:rsid w:val="007D76BD"/>
    <w:rsid w:val="007E0BF1"/>
    <w:rsid w:val="007E2569"/>
    <w:rsid w:val="007E2ED0"/>
    <w:rsid w:val="007E4E76"/>
    <w:rsid w:val="007F0ED8"/>
    <w:rsid w:val="007F0F63"/>
    <w:rsid w:val="007F3E48"/>
    <w:rsid w:val="007F75CE"/>
    <w:rsid w:val="008004D4"/>
    <w:rsid w:val="008013A4"/>
    <w:rsid w:val="008027CE"/>
    <w:rsid w:val="00802F42"/>
    <w:rsid w:val="00804383"/>
    <w:rsid w:val="00804BB7"/>
    <w:rsid w:val="00804D41"/>
    <w:rsid w:val="00804D51"/>
    <w:rsid w:val="00806F43"/>
    <w:rsid w:val="00810257"/>
    <w:rsid w:val="008104F5"/>
    <w:rsid w:val="00810D4A"/>
    <w:rsid w:val="00811072"/>
    <w:rsid w:val="00811369"/>
    <w:rsid w:val="00813370"/>
    <w:rsid w:val="0081424B"/>
    <w:rsid w:val="00814B54"/>
    <w:rsid w:val="00814FCA"/>
    <w:rsid w:val="00815419"/>
    <w:rsid w:val="008163C8"/>
    <w:rsid w:val="008164A1"/>
    <w:rsid w:val="0081694C"/>
    <w:rsid w:val="00817325"/>
    <w:rsid w:val="008209E6"/>
    <w:rsid w:val="00823303"/>
    <w:rsid w:val="008233B2"/>
    <w:rsid w:val="00823A9F"/>
    <w:rsid w:val="00823C85"/>
    <w:rsid w:val="00825138"/>
    <w:rsid w:val="00826691"/>
    <w:rsid w:val="008269DD"/>
    <w:rsid w:val="00827F9F"/>
    <w:rsid w:val="00830621"/>
    <w:rsid w:val="0083348C"/>
    <w:rsid w:val="008373D3"/>
    <w:rsid w:val="00837F8D"/>
    <w:rsid w:val="00840617"/>
    <w:rsid w:val="00840F84"/>
    <w:rsid w:val="008411FB"/>
    <w:rsid w:val="008422AC"/>
    <w:rsid w:val="00842A47"/>
    <w:rsid w:val="00843C13"/>
    <w:rsid w:val="008454F8"/>
    <w:rsid w:val="00846C14"/>
    <w:rsid w:val="0085173A"/>
    <w:rsid w:val="00851B05"/>
    <w:rsid w:val="008522F7"/>
    <w:rsid w:val="00856316"/>
    <w:rsid w:val="008603CE"/>
    <w:rsid w:val="008620FC"/>
    <w:rsid w:val="008627A5"/>
    <w:rsid w:val="00863E05"/>
    <w:rsid w:val="00865ACA"/>
    <w:rsid w:val="00865D28"/>
    <w:rsid w:val="00865F85"/>
    <w:rsid w:val="00867C10"/>
    <w:rsid w:val="00870439"/>
    <w:rsid w:val="00870DA1"/>
    <w:rsid w:val="00883F93"/>
    <w:rsid w:val="00884DB3"/>
    <w:rsid w:val="008859D6"/>
    <w:rsid w:val="00885A9D"/>
    <w:rsid w:val="008864F6"/>
    <w:rsid w:val="00886CCC"/>
    <w:rsid w:val="0089049D"/>
    <w:rsid w:val="008928C9"/>
    <w:rsid w:val="008930CB"/>
    <w:rsid w:val="008938DC"/>
    <w:rsid w:val="00893FD1"/>
    <w:rsid w:val="00894836"/>
    <w:rsid w:val="00895172"/>
    <w:rsid w:val="00895680"/>
    <w:rsid w:val="00896DFF"/>
    <w:rsid w:val="0089762C"/>
    <w:rsid w:val="008A1893"/>
    <w:rsid w:val="008A1BBE"/>
    <w:rsid w:val="008A3213"/>
    <w:rsid w:val="008A3215"/>
    <w:rsid w:val="008A57E6"/>
    <w:rsid w:val="008A6F81"/>
    <w:rsid w:val="008A769A"/>
    <w:rsid w:val="008B01A9"/>
    <w:rsid w:val="008B0C9C"/>
    <w:rsid w:val="008B111A"/>
    <w:rsid w:val="008B166D"/>
    <w:rsid w:val="008B17F4"/>
    <w:rsid w:val="008B3615"/>
    <w:rsid w:val="008B3AFF"/>
    <w:rsid w:val="008B4AC4"/>
    <w:rsid w:val="008B50C8"/>
    <w:rsid w:val="008B5281"/>
    <w:rsid w:val="008B7E05"/>
    <w:rsid w:val="008C0EF1"/>
    <w:rsid w:val="008C1797"/>
    <w:rsid w:val="008C219C"/>
    <w:rsid w:val="008C475E"/>
    <w:rsid w:val="008C5562"/>
    <w:rsid w:val="008C619A"/>
    <w:rsid w:val="008C6620"/>
    <w:rsid w:val="008D060F"/>
    <w:rsid w:val="008D0CE8"/>
    <w:rsid w:val="008D2D1D"/>
    <w:rsid w:val="008D453D"/>
    <w:rsid w:val="008D53AD"/>
    <w:rsid w:val="008D562B"/>
    <w:rsid w:val="008D5733"/>
    <w:rsid w:val="008D622B"/>
    <w:rsid w:val="008D666C"/>
    <w:rsid w:val="008D7B54"/>
    <w:rsid w:val="008D7B6F"/>
    <w:rsid w:val="008E0C9D"/>
    <w:rsid w:val="008E1648"/>
    <w:rsid w:val="008E1B3E"/>
    <w:rsid w:val="008E2319"/>
    <w:rsid w:val="008E3B12"/>
    <w:rsid w:val="008E4BB6"/>
    <w:rsid w:val="008E5518"/>
    <w:rsid w:val="008E594B"/>
    <w:rsid w:val="008E6A84"/>
    <w:rsid w:val="008F0CDC"/>
    <w:rsid w:val="008F17A3"/>
    <w:rsid w:val="008F1ED3"/>
    <w:rsid w:val="008F23A5"/>
    <w:rsid w:val="008F2596"/>
    <w:rsid w:val="008F4C29"/>
    <w:rsid w:val="008F70BD"/>
    <w:rsid w:val="008F788F"/>
    <w:rsid w:val="008F7EA2"/>
    <w:rsid w:val="00902722"/>
    <w:rsid w:val="009027BC"/>
    <w:rsid w:val="009036DE"/>
    <w:rsid w:val="009062E6"/>
    <w:rsid w:val="009118B3"/>
    <w:rsid w:val="00911BE5"/>
    <w:rsid w:val="00913CA9"/>
    <w:rsid w:val="009145AE"/>
    <w:rsid w:val="009146CE"/>
    <w:rsid w:val="00914CA7"/>
    <w:rsid w:val="00915C3E"/>
    <w:rsid w:val="009161A8"/>
    <w:rsid w:val="00916A22"/>
    <w:rsid w:val="009245F5"/>
    <w:rsid w:val="00924821"/>
    <w:rsid w:val="009249EC"/>
    <w:rsid w:val="00924B11"/>
    <w:rsid w:val="009273B3"/>
    <w:rsid w:val="00930093"/>
    <w:rsid w:val="009305B5"/>
    <w:rsid w:val="00931BB9"/>
    <w:rsid w:val="009371F2"/>
    <w:rsid w:val="009429D5"/>
    <w:rsid w:val="00942BF1"/>
    <w:rsid w:val="00942E57"/>
    <w:rsid w:val="00945180"/>
    <w:rsid w:val="00945428"/>
    <w:rsid w:val="0094607B"/>
    <w:rsid w:val="00953604"/>
    <w:rsid w:val="0095496B"/>
    <w:rsid w:val="00956655"/>
    <w:rsid w:val="009610DC"/>
    <w:rsid w:val="00961490"/>
    <w:rsid w:val="00961F30"/>
    <w:rsid w:val="0096381A"/>
    <w:rsid w:val="00963AB3"/>
    <w:rsid w:val="0096525F"/>
    <w:rsid w:val="0096562D"/>
    <w:rsid w:val="00965E04"/>
    <w:rsid w:val="00965FFD"/>
    <w:rsid w:val="009674AD"/>
    <w:rsid w:val="00970CDC"/>
    <w:rsid w:val="00977010"/>
    <w:rsid w:val="009779DE"/>
    <w:rsid w:val="00977D02"/>
    <w:rsid w:val="009809BB"/>
    <w:rsid w:val="00981474"/>
    <w:rsid w:val="0098286A"/>
    <w:rsid w:val="0098364B"/>
    <w:rsid w:val="00983C76"/>
    <w:rsid w:val="00985E20"/>
    <w:rsid w:val="009911AF"/>
    <w:rsid w:val="00991875"/>
    <w:rsid w:val="00991F92"/>
    <w:rsid w:val="00992985"/>
    <w:rsid w:val="00993889"/>
    <w:rsid w:val="0099551B"/>
    <w:rsid w:val="00997BF1"/>
    <w:rsid w:val="009A089C"/>
    <w:rsid w:val="009A118E"/>
    <w:rsid w:val="009A21CD"/>
    <w:rsid w:val="009A278C"/>
    <w:rsid w:val="009A2BC2"/>
    <w:rsid w:val="009A2EE9"/>
    <w:rsid w:val="009A42C1"/>
    <w:rsid w:val="009A5429"/>
    <w:rsid w:val="009A6D65"/>
    <w:rsid w:val="009A72AD"/>
    <w:rsid w:val="009B09E0"/>
    <w:rsid w:val="009B0BC5"/>
    <w:rsid w:val="009B0F5F"/>
    <w:rsid w:val="009B1247"/>
    <w:rsid w:val="009B46F9"/>
    <w:rsid w:val="009B6029"/>
    <w:rsid w:val="009B6971"/>
    <w:rsid w:val="009C22AB"/>
    <w:rsid w:val="009C27F1"/>
    <w:rsid w:val="009C3152"/>
    <w:rsid w:val="009C44A9"/>
    <w:rsid w:val="009C47F1"/>
    <w:rsid w:val="009C4CFA"/>
    <w:rsid w:val="009C5070"/>
    <w:rsid w:val="009C59F8"/>
    <w:rsid w:val="009C6376"/>
    <w:rsid w:val="009D112C"/>
    <w:rsid w:val="009D47FA"/>
    <w:rsid w:val="009D4C5B"/>
    <w:rsid w:val="009D50D2"/>
    <w:rsid w:val="009D6BCA"/>
    <w:rsid w:val="009D7DB0"/>
    <w:rsid w:val="009E0F62"/>
    <w:rsid w:val="009E1C64"/>
    <w:rsid w:val="009E4A58"/>
    <w:rsid w:val="009E5A2D"/>
    <w:rsid w:val="009E5AB2"/>
    <w:rsid w:val="009E6219"/>
    <w:rsid w:val="009F03B3"/>
    <w:rsid w:val="009F52F7"/>
    <w:rsid w:val="009F5710"/>
    <w:rsid w:val="00A0096C"/>
    <w:rsid w:val="00A01757"/>
    <w:rsid w:val="00A028C0"/>
    <w:rsid w:val="00A02BAE"/>
    <w:rsid w:val="00A06A6B"/>
    <w:rsid w:val="00A07E47"/>
    <w:rsid w:val="00A10BAC"/>
    <w:rsid w:val="00A129D0"/>
    <w:rsid w:val="00A12C33"/>
    <w:rsid w:val="00A138BA"/>
    <w:rsid w:val="00A14C8E"/>
    <w:rsid w:val="00A153D9"/>
    <w:rsid w:val="00A15F09"/>
    <w:rsid w:val="00A169B6"/>
    <w:rsid w:val="00A2271D"/>
    <w:rsid w:val="00A2288D"/>
    <w:rsid w:val="00A237D5"/>
    <w:rsid w:val="00A23DEC"/>
    <w:rsid w:val="00A30EFC"/>
    <w:rsid w:val="00A31984"/>
    <w:rsid w:val="00A31E01"/>
    <w:rsid w:val="00A32D73"/>
    <w:rsid w:val="00A3367B"/>
    <w:rsid w:val="00A3531C"/>
    <w:rsid w:val="00A3597D"/>
    <w:rsid w:val="00A36DD1"/>
    <w:rsid w:val="00A4006C"/>
    <w:rsid w:val="00A40091"/>
    <w:rsid w:val="00A4030F"/>
    <w:rsid w:val="00A41220"/>
    <w:rsid w:val="00A41C79"/>
    <w:rsid w:val="00A41CB5"/>
    <w:rsid w:val="00A42CDF"/>
    <w:rsid w:val="00A435FF"/>
    <w:rsid w:val="00A4452E"/>
    <w:rsid w:val="00A4472C"/>
    <w:rsid w:val="00A44D38"/>
    <w:rsid w:val="00A44E69"/>
    <w:rsid w:val="00A4661E"/>
    <w:rsid w:val="00A51226"/>
    <w:rsid w:val="00A55BD6"/>
    <w:rsid w:val="00A55D50"/>
    <w:rsid w:val="00A57142"/>
    <w:rsid w:val="00A57284"/>
    <w:rsid w:val="00A648CD"/>
    <w:rsid w:val="00A6537A"/>
    <w:rsid w:val="00A65EBD"/>
    <w:rsid w:val="00A67866"/>
    <w:rsid w:val="00A70B07"/>
    <w:rsid w:val="00A723F8"/>
    <w:rsid w:val="00A77429"/>
    <w:rsid w:val="00A77CCB"/>
    <w:rsid w:val="00A8140F"/>
    <w:rsid w:val="00A83D8D"/>
    <w:rsid w:val="00A8446B"/>
    <w:rsid w:val="00A8473F"/>
    <w:rsid w:val="00A862D6"/>
    <w:rsid w:val="00A8715E"/>
    <w:rsid w:val="00A9132E"/>
    <w:rsid w:val="00A9295B"/>
    <w:rsid w:val="00A93B09"/>
    <w:rsid w:val="00A94247"/>
    <w:rsid w:val="00A952D7"/>
    <w:rsid w:val="00A963F7"/>
    <w:rsid w:val="00A96AD8"/>
    <w:rsid w:val="00AA052C"/>
    <w:rsid w:val="00AA1E45"/>
    <w:rsid w:val="00AA2FD0"/>
    <w:rsid w:val="00AA4286"/>
    <w:rsid w:val="00AA456B"/>
    <w:rsid w:val="00AA57F5"/>
    <w:rsid w:val="00AA672E"/>
    <w:rsid w:val="00AA6EC9"/>
    <w:rsid w:val="00AB3331"/>
    <w:rsid w:val="00AB41D5"/>
    <w:rsid w:val="00AB6309"/>
    <w:rsid w:val="00AB6C5F"/>
    <w:rsid w:val="00AB7129"/>
    <w:rsid w:val="00AC27A6"/>
    <w:rsid w:val="00AC2B6E"/>
    <w:rsid w:val="00AC30F7"/>
    <w:rsid w:val="00AC3A5A"/>
    <w:rsid w:val="00AC4D95"/>
    <w:rsid w:val="00AC539E"/>
    <w:rsid w:val="00AC5703"/>
    <w:rsid w:val="00AC5DF4"/>
    <w:rsid w:val="00AC6E67"/>
    <w:rsid w:val="00AD0AEF"/>
    <w:rsid w:val="00AD11B7"/>
    <w:rsid w:val="00AD1A94"/>
    <w:rsid w:val="00AD1C05"/>
    <w:rsid w:val="00AD25E8"/>
    <w:rsid w:val="00AD4126"/>
    <w:rsid w:val="00AD421C"/>
    <w:rsid w:val="00AD44FA"/>
    <w:rsid w:val="00AD5680"/>
    <w:rsid w:val="00AE070A"/>
    <w:rsid w:val="00AE101C"/>
    <w:rsid w:val="00AE11E0"/>
    <w:rsid w:val="00AE379E"/>
    <w:rsid w:val="00AE37E5"/>
    <w:rsid w:val="00AE3EC9"/>
    <w:rsid w:val="00AE5EB4"/>
    <w:rsid w:val="00AE7551"/>
    <w:rsid w:val="00AF0C18"/>
    <w:rsid w:val="00AF47C5"/>
    <w:rsid w:val="00AF5398"/>
    <w:rsid w:val="00B0314F"/>
    <w:rsid w:val="00B049AF"/>
    <w:rsid w:val="00B07242"/>
    <w:rsid w:val="00B10534"/>
    <w:rsid w:val="00B10BBA"/>
    <w:rsid w:val="00B113DB"/>
    <w:rsid w:val="00B11D8A"/>
    <w:rsid w:val="00B12981"/>
    <w:rsid w:val="00B140F5"/>
    <w:rsid w:val="00B147DD"/>
    <w:rsid w:val="00B156FD"/>
    <w:rsid w:val="00B21F61"/>
    <w:rsid w:val="00B261F1"/>
    <w:rsid w:val="00B265BC"/>
    <w:rsid w:val="00B26758"/>
    <w:rsid w:val="00B26A64"/>
    <w:rsid w:val="00B3129D"/>
    <w:rsid w:val="00B31FB1"/>
    <w:rsid w:val="00B33784"/>
    <w:rsid w:val="00B33952"/>
    <w:rsid w:val="00B33C5E"/>
    <w:rsid w:val="00B342F4"/>
    <w:rsid w:val="00B34369"/>
    <w:rsid w:val="00B34DC2"/>
    <w:rsid w:val="00B378E5"/>
    <w:rsid w:val="00B37FD3"/>
    <w:rsid w:val="00B4346D"/>
    <w:rsid w:val="00B440F4"/>
    <w:rsid w:val="00B447A5"/>
    <w:rsid w:val="00B4654C"/>
    <w:rsid w:val="00B46AF0"/>
    <w:rsid w:val="00B47293"/>
    <w:rsid w:val="00B47ED3"/>
    <w:rsid w:val="00B50E50"/>
    <w:rsid w:val="00B51D55"/>
    <w:rsid w:val="00B52120"/>
    <w:rsid w:val="00B54ABC"/>
    <w:rsid w:val="00B54DDE"/>
    <w:rsid w:val="00B56FBE"/>
    <w:rsid w:val="00B60ACF"/>
    <w:rsid w:val="00B61969"/>
    <w:rsid w:val="00B62B58"/>
    <w:rsid w:val="00B630A1"/>
    <w:rsid w:val="00B63B8F"/>
    <w:rsid w:val="00B6440E"/>
    <w:rsid w:val="00B65149"/>
    <w:rsid w:val="00B66567"/>
    <w:rsid w:val="00B66F52"/>
    <w:rsid w:val="00B66FE5"/>
    <w:rsid w:val="00B7040A"/>
    <w:rsid w:val="00B72880"/>
    <w:rsid w:val="00B7506B"/>
    <w:rsid w:val="00B758BF"/>
    <w:rsid w:val="00B77EC8"/>
    <w:rsid w:val="00B827A6"/>
    <w:rsid w:val="00B831CE"/>
    <w:rsid w:val="00B835CC"/>
    <w:rsid w:val="00B84435"/>
    <w:rsid w:val="00B847C3"/>
    <w:rsid w:val="00B8642B"/>
    <w:rsid w:val="00B86677"/>
    <w:rsid w:val="00B87131"/>
    <w:rsid w:val="00B9005B"/>
    <w:rsid w:val="00B92468"/>
    <w:rsid w:val="00B92C20"/>
    <w:rsid w:val="00B939B1"/>
    <w:rsid w:val="00B944D4"/>
    <w:rsid w:val="00B947B5"/>
    <w:rsid w:val="00B9668A"/>
    <w:rsid w:val="00B96D40"/>
    <w:rsid w:val="00B97386"/>
    <w:rsid w:val="00BA263B"/>
    <w:rsid w:val="00BA42B2"/>
    <w:rsid w:val="00BA56BD"/>
    <w:rsid w:val="00BA58D4"/>
    <w:rsid w:val="00BA5B9E"/>
    <w:rsid w:val="00BA7C9A"/>
    <w:rsid w:val="00BB203B"/>
    <w:rsid w:val="00BB5F8F"/>
    <w:rsid w:val="00BB657A"/>
    <w:rsid w:val="00BC1A4E"/>
    <w:rsid w:val="00BC4790"/>
    <w:rsid w:val="00BC5DC7"/>
    <w:rsid w:val="00BC6B8B"/>
    <w:rsid w:val="00BC73D8"/>
    <w:rsid w:val="00BC7A73"/>
    <w:rsid w:val="00BC7E97"/>
    <w:rsid w:val="00BD02AE"/>
    <w:rsid w:val="00BD0E93"/>
    <w:rsid w:val="00BD52D7"/>
    <w:rsid w:val="00BD5AD2"/>
    <w:rsid w:val="00BD6781"/>
    <w:rsid w:val="00BD6F06"/>
    <w:rsid w:val="00BE22F3"/>
    <w:rsid w:val="00BE3112"/>
    <w:rsid w:val="00BE3C8F"/>
    <w:rsid w:val="00BE3D9F"/>
    <w:rsid w:val="00BE5B52"/>
    <w:rsid w:val="00BE7B8D"/>
    <w:rsid w:val="00BF0993"/>
    <w:rsid w:val="00BF10A9"/>
    <w:rsid w:val="00BF1703"/>
    <w:rsid w:val="00BF1F18"/>
    <w:rsid w:val="00BF231C"/>
    <w:rsid w:val="00BF51E5"/>
    <w:rsid w:val="00BF5BCB"/>
    <w:rsid w:val="00BF73D2"/>
    <w:rsid w:val="00BF74A6"/>
    <w:rsid w:val="00C013AD"/>
    <w:rsid w:val="00C01607"/>
    <w:rsid w:val="00C01FEF"/>
    <w:rsid w:val="00C025A3"/>
    <w:rsid w:val="00C032C6"/>
    <w:rsid w:val="00C0486B"/>
    <w:rsid w:val="00C04904"/>
    <w:rsid w:val="00C05478"/>
    <w:rsid w:val="00C056B3"/>
    <w:rsid w:val="00C062BE"/>
    <w:rsid w:val="00C103E5"/>
    <w:rsid w:val="00C12454"/>
    <w:rsid w:val="00C13319"/>
    <w:rsid w:val="00C13EE9"/>
    <w:rsid w:val="00C171A8"/>
    <w:rsid w:val="00C21540"/>
    <w:rsid w:val="00C21906"/>
    <w:rsid w:val="00C21BF8"/>
    <w:rsid w:val="00C21BFA"/>
    <w:rsid w:val="00C22148"/>
    <w:rsid w:val="00C24ADF"/>
    <w:rsid w:val="00C24C8D"/>
    <w:rsid w:val="00C25FE2"/>
    <w:rsid w:val="00C26B53"/>
    <w:rsid w:val="00C279B2"/>
    <w:rsid w:val="00C27AEF"/>
    <w:rsid w:val="00C338B6"/>
    <w:rsid w:val="00C33E50"/>
    <w:rsid w:val="00C34C20"/>
    <w:rsid w:val="00C35A3E"/>
    <w:rsid w:val="00C42130"/>
    <w:rsid w:val="00C423A4"/>
    <w:rsid w:val="00C44BF5"/>
    <w:rsid w:val="00C450A5"/>
    <w:rsid w:val="00C521D6"/>
    <w:rsid w:val="00C53238"/>
    <w:rsid w:val="00C53D92"/>
    <w:rsid w:val="00C55232"/>
    <w:rsid w:val="00C553A4"/>
    <w:rsid w:val="00C55A06"/>
    <w:rsid w:val="00C55D03"/>
    <w:rsid w:val="00C56004"/>
    <w:rsid w:val="00C5795D"/>
    <w:rsid w:val="00C601BC"/>
    <w:rsid w:val="00C62D90"/>
    <w:rsid w:val="00C6329F"/>
    <w:rsid w:val="00C63340"/>
    <w:rsid w:val="00C643F9"/>
    <w:rsid w:val="00C64E95"/>
    <w:rsid w:val="00C6505F"/>
    <w:rsid w:val="00C71372"/>
    <w:rsid w:val="00C72410"/>
    <w:rsid w:val="00C7287F"/>
    <w:rsid w:val="00C80982"/>
    <w:rsid w:val="00C80CB8"/>
    <w:rsid w:val="00C819F8"/>
    <w:rsid w:val="00C8248C"/>
    <w:rsid w:val="00C82A42"/>
    <w:rsid w:val="00C84E33"/>
    <w:rsid w:val="00C86D6F"/>
    <w:rsid w:val="00C905FC"/>
    <w:rsid w:val="00C92D03"/>
    <w:rsid w:val="00C9319C"/>
    <w:rsid w:val="00C9435D"/>
    <w:rsid w:val="00C94DF2"/>
    <w:rsid w:val="00C95579"/>
    <w:rsid w:val="00C96356"/>
    <w:rsid w:val="00C96741"/>
    <w:rsid w:val="00CA11F9"/>
    <w:rsid w:val="00CA1307"/>
    <w:rsid w:val="00CA1C3E"/>
    <w:rsid w:val="00CA2D1B"/>
    <w:rsid w:val="00CA375D"/>
    <w:rsid w:val="00CA4661"/>
    <w:rsid w:val="00CA64BA"/>
    <w:rsid w:val="00CA662A"/>
    <w:rsid w:val="00CA7AFD"/>
    <w:rsid w:val="00CA7C3C"/>
    <w:rsid w:val="00CB0189"/>
    <w:rsid w:val="00CB0BA2"/>
    <w:rsid w:val="00CB1A42"/>
    <w:rsid w:val="00CB1B0C"/>
    <w:rsid w:val="00CB2C0B"/>
    <w:rsid w:val="00CB517D"/>
    <w:rsid w:val="00CB6201"/>
    <w:rsid w:val="00CB66DE"/>
    <w:rsid w:val="00CB6F02"/>
    <w:rsid w:val="00CB7659"/>
    <w:rsid w:val="00CC0286"/>
    <w:rsid w:val="00CC0299"/>
    <w:rsid w:val="00CC038D"/>
    <w:rsid w:val="00CC08DB"/>
    <w:rsid w:val="00CC2589"/>
    <w:rsid w:val="00CC39FF"/>
    <w:rsid w:val="00CC3C2F"/>
    <w:rsid w:val="00CC4AC8"/>
    <w:rsid w:val="00CC5137"/>
    <w:rsid w:val="00CC5233"/>
    <w:rsid w:val="00CC5DE6"/>
    <w:rsid w:val="00CC6E4E"/>
    <w:rsid w:val="00CC6FE8"/>
    <w:rsid w:val="00CC703E"/>
    <w:rsid w:val="00CC7202"/>
    <w:rsid w:val="00CD2808"/>
    <w:rsid w:val="00CD28BF"/>
    <w:rsid w:val="00CD4092"/>
    <w:rsid w:val="00CD4A20"/>
    <w:rsid w:val="00CD50A1"/>
    <w:rsid w:val="00CD519E"/>
    <w:rsid w:val="00CD5311"/>
    <w:rsid w:val="00CD561D"/>
    <w:rsid w:val="00CE0C4F"/>
    <w:rsid w:val="00CE1943"/>
    <w:rsid w:val="00CE30EA"/>
    <w:rsid w:val="00CE738D"/>
    <w:rsid w:val="00CF048A"/>
    <w:rsid w:val="00CF0570"/>
    <w:rsid w:val="00CF155A"/>
    <w:rsid w:val="00CF2947"/>
    <w:rsid w:val="00CF686F"/>
    <w:rsid w:val="00CF6E60"/>
    <w:rsid w:val="00CF7BCA"/>
    <w:rsid w:val="00D008FD"/>
    <w:rsid w:val="00D0321C"/>
    <w:rsid w:val="00D035EC"/>
    <w:rsid w:val="00D03886"/>
    <w:rsid w:val="00D04757"/>
    <w:rsid w:val="00D06A0E"/>
    <w:rsid w:val="00D06AB1"/>
    <w:rsid w:val="00D072ED"/>
    <w:rsid w:val="00D07A16"/>
    <w:rsid w:val="00D1067E"/>
    <w:rsid w:val="00D10F50"/>
    <w:rsid w:val="00D11272"/>
    <w:rsid w:val="00D11FF0"/>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31ED"/>
    <w:rsid w:val="00D4514F"/>
    <w:rsid w:val="00D451E2"/>
    <w:rsid w:val="00D45E89"/>
    <w:rsid w:val="00D45E8D"/>
    <w:rsid w:val="00D466AE"/>
    <w:rsid w:val="00D4710F"/>
    <w:rsid w:val="00D4734F"/>
    <w:rsid w:val="00D50634"/>
    <w:rsid w:val="00D51BF3"/>
    <w:rsid w:val="00D53327"/>
    <w:rsid w:val="00D55C6B"/>
    <w:rsid w:val="00D66846"/>
    <w:rsid w:val="00D675FB"/>
    <w:rsid w:val="00D71F25"/>
    <w:rsid w:val="00D72A9C"/>
    <w:rsid w:val="00D73712"/>
    <w:rsid w:val="00D76AF6"/>
    <w:rsid w:val="00D77031"/>
    <w:rsid w:val="00D84941"/>
    <w:rsid w:val="00D84FA1"/>
    <w:rsid w:val="00D851F0"/>
    <w:rsid w:val="00D86DB7"/>
    <w:rsid w:val="00D87554"/>
    <w:rsid w:val="00D90B94"/>
    <w:rsid w:val="00D926D0"/>
    <w:rsid w:val="00D93030"/>
    <w:rsid w:val="00D950E1"/>
    <w:rsid w:val="00D952A6"/>
    <w:rsid w:val="00D96273"/>
    <w:rsid w:val="00D97F99"/>
    <w:rsid w:val="00DA1E08"/>
    <w:rsid w:val="00DA24F8"/>
    <w:rsid w:val="00DA275D"/>
    <w:rsid w:val="00DA28E8"/>
    <w:rsid w:val="00DA38D3"/>
    <w:rsid w:val="00DA3932"/>
    <w:rsid w:val="00DA3AFC"/>
    <w:rsid w:val="00DA5191"/>
    <w:rsid w:val="00DA64F8"/>
    <w:rsid w:val="00DA6C15"/>
    <w:rsid w:val="00DA7A17"/>
    <w:rsid w:val="00DA7DF0"/>
    <w:rsid w:val="00DB0258"/>
    <w:rsid w:val="00DB144B"/>
    <w:rsid w:val="00DB38EE"/>
    <w:rsid w:val="00DB498B"/>
    <w:rsid w:val="00DB4E98"/>
    <w:rsid w:val="00DB5314"/>
    <w:rsid w:val="00DB66CA"/>
    <w:rsid w:val="00DB6BCA"/>
    <w:rsid w:val="00DB73F7"/>
    <w:rsid w:val="00DC0321"/>
    <w:rsid w:val="00DC3067"/>
    <w:rsid w:val="00DC370B"/>
    <w:rsid w:val="00DC5B90"/>
    <w:rsid w:val="00DC60FD"/>
    <w:rsid w:val="00DC7F1B"/>
    <w:rsid w:val="00DD00FF"/>
    <w:rsid w:val="00DD0619"/>
    <w:rsid w:val="00DD07FB"/>
    <w:rsid w:val="00DD25C6"/>
    <w:rsid w:val="00DD2C26"/>
    <w:rsid w:val="00DD4FE5"/>
    <w:rsid w:val="00DD54B0"/>
    <w:rsid w:val="00DD57EE"/>
    <w:rsid w:val="00DD5D98"/>
    <w:rsid w:val="00DD6BCC"/>
    <w:rsid w:val="00DE0593"/>
    <w:rsid w:val="00DE0A4B"/>
    <w:rsid w:val="00DE2410"/>
    <w:rsid w:val="00DE2939"/>
    <w:rsid w:val="00DE3CB5"/>
    <w:rsid w:val="00DE6E81"/>
    <w:rsid w:val="00DE703F"/>
    <w:rsid w:val="00DE7595"/>
    <w:rsid w:val="00DF1961"/>
    <w:rsid w:val="00DF44DE"/>
    <w:rsid w:val="00DF5659"/>
    <w:rsid w:val="00DF5F11"/>
    <w:rsid w:val="00E000D1"/>
    <w:rsid w:val="00E00C43"/>
    <w:rsid w:val="00E01138"/>
    <w:rsid w:val="00E01BB6"/>
    <w:rsid w:val="00E02DFB"/>
    <w:rsid w:val="00E030F9"/>
    <w:rsid w:val="00E0311A"/>
    <w:rsid w:val="00E03138"/>
    <w:rsid w:val="00E06404"/>
    <w:rsid w:val="00E065D2"/>
    <w:rsid w:val="00E118FE"/>
    <w:rsid w:val="00E11A85"/>
    <w:rsid w:val="00E12495"/>
    <w:rsid w:val="00E1597B"/>
    <w:rsid w:val="00E15CCD"/>
    <w:rsid w:val="00E16759"/>
    <w:rsid w:val="00E202EF"/>
    <w:rsid w:val="00E210B5"/>
    <w:rsid w:val="00E23D99"/>
    <w:rsid w:val="00E2552F"/>
    <w:rsid w:val="00E3137A"/>
    <w:rsid w:val="00E32AD1"/>
    <w:rsid w:val="00E32CCF"/>
    <w:rsid w:val="00E32F2C"/>
    <w:rsid w:val="00E34327"/>
    <w:rsid w:val="00E34A98"/>
    <w:rsid w:val="00E35D1E"/>
    <w:rsid w:val="00E364F9"/>
    <w:rsid w:val="00E365FA"/>
    <w:rsid w:val="00E36789"/>
    <w:rsid w:val="00E41FA1"/>
    <w:rsid w:val="00E44A83"/>
    <w:rsid w:val="00E45715"/>
    <w:rsid w:val="00E502C1"/>
    <w:rsid w:val="00E502DD"/>
    <w:rsid w:val="00E50D3A"/>
    <w:rsid w:val="00E51387"/>
    <w:rsid w:val="00E51E68"/>
    <w:rsid w:val="00E52EFD"/>
    <w:rsid w:val="00E5408A"/>
    <w:rsid w:val="00E56800"/>
    <w:rsid w:val="00E60C63"/>
    <w:rsid w:val="00E61355"/>
    <w:rsid w:val="00E62FEF"/>
    <w:rsid w:val="00E62FF9"/>
    <w:rsid w:val="00E635D6"/>
    <w:rsid w:val="00E639BC"/>
    <w:rsid w:val="00E64FD6"/>
    <w:rsid w:val="00E664CC"/>
    <w:rsid w:val="00E66B44"/>
    <w:rsid w:val="00E70388"/>
    <w:rsid w:val="00E70F92"/>
    <w:rsid w:val="00E713AB"/>
    <w:rsid w:val="00E72B2E"/>
    <w:rsid w:val="00E74C54"/>
    <w:rsid w:val="00E76D57"/>
    <w:rsid w:val="00E77A03"/>
    <w:rsid w:val="00E820DD"/>
    <w:rsid w:val="00E822E8"/>
    <w:rsid w:val="00E824FC"/>
    <w:rsid w:val="00E82554"/>
    <w:rsid w:val="00E82606"/>
    <w:rsid w:val="00E846C8"/>
    <w:rsid w:val="00E84957"/>
    <w:rsid w:val="00E84A55"/>
    <w:rsid w:val="00E85BFF"/>
    <w:rsid w:val="00E87890"/>
    <w:rsid w:val="00E90391"/>
    <w:rsid w:val="00E906C2"/>
    <w:rsid w:val="00E91AAC"/>
    <w:rsid w:val="00E92CFB"/>
    <w:rsid w:val="00E9311F"/>
    <w:rsid w:val="00E934D1"/>
    <w:rsid w:val="00E94AF0"/>
    <w:rsid w:val="00E95D13"/>
    <w:rsid w:val="00E95DD3"/>
    <w:rsid w:val="00E9620C"/>
    <w:rsid w:val="00E969D5"/>
    <w:rsid w:val="00EA58D1"/>
    <w:rsid w:val="00EA61BC"/>
    <w:rsid w:val="00EA681A"/>
    <w:rsid w:val="00EA735B"/>
    <w:rsid w:val="00EA79AE"/>
    <w:rsid w:val="00EB0EB8"/>
    <w:rsid w:val="00EB17DE"/>
    <w:rsid w:val="00EB1E69"/>
    <w:rsid w:val="00EB2086"/>
    <w:rsid w:val="00EB5E73"/>
    <w:rsid w:val="00EB5EDF"/>
    <w:rsid w:val="00EB60FE"/>
    <w:rsid w:val="00EB74DB"/>
    <w:rsid w:val="00EC0CA3"/>
    <w:rsid w:val="00EC1BDD"/>
    <w:rsid w:val="00EC5359"/>
    <w:rsid w:val="00EC562A"/>
    <w:rsid w:val="00EC6F4A"/>
    <w:rsid w:val="00EC7B92"/>
    <w:rsid w:val="00ED05D1"/>
    <w:rsid w:val="00ED067A"/>
    <w:rsid w:val="00ED2B50"/>
    <w:rsid w:val="00ED604C"/>
    <w:rsid w:val="00ED635E"/>
    <w:rsid w:val="00ED6B55"/>
    <w:rsid w:val="00EE0350"/>
    <w:rsid w:val="00EE0719"/>
    <w:rsid w:val="00EE0E80"/>
    <w:rsid w:val="00EE4E23"/>
    <w:rsid w:val="00EE54A6"/>
    <w:rsid w:val="00EE613F"/>
    <w:rsid w:val="00EE7295"/>
    <w:rsid w:val="00EE7869"/>
    <w:rsid w:val="00EF054A"/>
    <w:rsid w:val="00EF16D4"/>
    <w:rsid w:val="00EF3235"/>
    <w:rsid w:val="00EF7E72"/>
    <w:rsid w:val="00F01C48"/>
    <w:rsid w:val="00F0401E"/>
    <w:rsid w:val="00F06D37"/>
    <w:rsid w:val="00F077C6"/>
    <w:rsid w:val="00F07B9D"/>
    <w:rsid w:val="00F11586"/>
    <w:rsid w:val="00F1183B"/>
    <w:rsid w:val="00F11C9F"/>
    <w:rsid w:val="00F12263"/>
    <w:rsid w:val="00F1409D"/>
    <w:rsid w:val="00F14214"/>
    <w:rsid w:val="00F14E95"/>
    <w:rsid w:val="00F157A9"/>
    <w:rsid w:val="00F172E0"/>
    <w:rsid w:val="00F20153"/>
    <w:rsid w:val="00F25523"/>
    <w:rsid w:val="00F25BB6"/>
    <w:rsid w:val="00F26B7E"/>
    <w:rsid w:val="00F27A3B"/>
    <w:rsid w:val="00F33817"/>
    <w:rsid w:val="00F420D5"/>
    <w:rsid w:val="00F42E43"/>
    <w:rsid w:val="00F451EA"/>
    <w:rsid w:val="00F45447"/>
    <w:rsid w:val="00F456C6"/>
    <w:rsid w:val="00F4577B"/>
    <w:rsid w:val="00F46496"/>
    <w:rsid w:val="00F474D0"/>
    <w:rsid w:val="00F50179"/>
    <w:rsid w:val="00F515EE"/>
    <w:rsid w:val="00F553D5"/>
    <w:rsid w:val="00F56511"/>
    <w:rsid w:val="00F56A4C"/>
    <w:rsid w:val="00F6194E"/>
    <w:rsid w:val="00F623AC"/>
    <w:rsid w:val="00F629E2"/>
    <w:rsid w:val="00F6412A"/>
    <w:rsid w:val="00F6548C"/>
    <w:rsid w:val="00F65893"/>
    <w:rsid w:val="00F65914"/>
    <w:rsid w:val="00F66A4A"/>
    <w:rsid w:val="00F71E22"/>
    <w:rsid w:val="00F72142"/>
    <w:rsid w:val="00F72AE7"/>
    <w:rsid w:val="00F76926"/>
    <w:rsid w:val="00F81141"/>
    <w:rsid w:val="00F833BA"/>
    <w:rsid w:val="00F84DE2"/>
    <w:rsid w:val="00F84FD0"/>
    <w:rsid w:val="00F859A8"/>
    <w:rsid w:val="00F86BEC"/>
    <w:rsid w:val="00F86C41"/>
    <w:rsid w:val="00F86D87"/>
    <w:rsid w:val="00F87B54"/>
    <w:rsid w:val="00F9108B"/>
    <w:rsid w:val="00F91349"/>
    <w:rsid w:val="00F91CB2"/>
    <w:rsid w:val="00F93A8A"/>
    <w:rsid w:val="00F95248"/>
    <w:rsid w:val="00F956A9"/>
    <w:rsid w:val="00F95C2C"/>
    <w:rsid w:val="00F963ED"/>
    <w:rsid w:val="00F966CF"/>
    <w:rsid w:val="00F96CAE"/>
    <w:rsid w:val="00F97C99"/>
    <w:rsid w:val="00FA47BA"/>
    <w:rsid w:val="00FA4DAC"/>
    <w:rsid w:val="00FA662D"/>
    <w:rsid w:val="00FA73B1"/>
    <w:rsid w:val="00FA75BB"/>
    <w:rsid w:val="00FA7F9E"/>
    <w:rsid w:val="00FB0CB9"/>
    <w:rsid w:val="00FB231D"/>
    <w:rsid w:val="00FB3204"/>
    <w:rsid w:val="00FB45D4"/>
    <w:rsid w:val="00FB45F1"/>
    <w:rsid w:val="00FB4A72"/>
    <w:rsid w:val="00FB54E8"/>
    <w:rsid w:val="00FB5C87"/>
    <w:rsid w:val="00FB7054"/>
    <w:rsid w:val="00FC17B7"/>
    <w:rsid w:val="00FC2CB7"/>
    <w:rsid w:val="00FC4090"/>
    <w:rsid w:val="00FC55B4"/>
    <w:rsid w:val="00FC5BEB"/>
    <w:rsid w:val="00FD00E6"/>
    <w:rsid w:val="00FD09A1"/>
    <w:rsid w:val="00FD2A7C"/>
    <w:rsid w:val="00FD59EB"/>
    <w:rsid w:val="00FD7299"/>
    <w:rsid w:val="00FE1FBE"/>
    <w:rsid w:val="00FE3860"/>
    <w:rsid w:val="00FE3901"/>
    <w:rsid w:val="00FE39D3"/>
    <w:rsid w:val="00FE4932"/>
    <w:rsid w:val="00FE4BCE"/>
    <w:rsid w:val="00FE54AE"/>
    <w:rsid w:val="00FE576A"/>
    <w:rsid w:val="00FE6D5A"/>
    <w:rsid w:val="00FE7E79"/>
    <w:rsid w:val="00FF0549"/>
    <w:rsid w:val="00FF19A2"/>
    <w:rsid w:val="00FF20A5"/>
    <w:rsid w:val="00FF3E7D"/>
    <w:rsid w:val="00FF5B99"/>
    <w:rsid w:val="00FF6B96"/>
    <w:rsid w:val="00FF730C"/>
    <w:rsid w:val="00FF735F"/>
    <w:rsid w:val="00FF73F4"/>
    <w:rsid w:val="00FF7CE4"/>
    <w:rsid w:val="00FF7E39"/>
    <w:rsid w:val="1EED4379"/>
    <w:rsid w:val="39272A24"/>
    <w:rsid w:val="51DF805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semiHidden="0" w:name="toc 2"/>
    <w:lsdException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9"/>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0"/>
    <w:qFormat/>
    <w:uiPriority w:val="0"/>
    <w:pPr>
      <w:keepNext/>
      <w:keepLines/>
      <w:spacing w:before="260" w:after="260" w:line="416" w:lineRule="auto"/>
      <w:outlineLvl w:val="2"/>
    </w:pPr>
    <w:rPr>
      <w:b/>
      <w:bCs/>
      <w:sz w:val="32"/>
      <w:szCs w:val="32"/>
    </w:rPr>
  </w:style>
  <w:style w:type="paragraph" w:styleId="5">
    <w:name w:val="heading 4"/>
    <w:basedOn w:val="1"/>
    <w:next w:val="1"/>
    <w:link w:val="4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2"/>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3"/>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4"/>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5"/>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6"/>
    <w:qFormat/>
    <w:uiPriority w:val="0"/>
    <w:pPr>
      <w:keepNext/>
      <w:keepLines/>
      <w:adjustRightInd/>
      <w:spacing w:before="240" w:after="64" w:line="320" w:lineRule="auto"/>
      <w:outlineLvl w:val="8"/>
    </w:pPr>
    <w:rPr>
      <w:rFonts w:ascii="Arial" w:hAnsi="Arial" w:eastAsia="黑体"/>
    </w:rPr>
  </w:style>
  <w:style w:type="character" w:default="1" w:styleId="31">
    <w:name w:val="Default Paragraph Font"/>
    <w:semiHidden/>
    <w:unhideWhenUsed/>
    <w:uiPriority w:val="1"/>
  </w:style>
  <w:style w:type="table" w:default="1" w:styleId="29">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annotation text"/>
    <w:basedOn w:val="1"/>
    <w:link w:val="234"/>
    <w:semiHidden/>
    <w:unhideWhenUsed/>
    <w:qFormat/>
    <w:uiPriority w:val="99"/>
    <w:pPr>
      <w:jc w:val="left"/>
    </w:pPr>
  </w:style>
  <w:style w:type="paragraph" w:styleId="14">
    <w:name w:val="Body Text"/>
    <w:basedOn w:val="1"/>
    <w:link w:val="90"/>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uiPriority w:val="39"/>
    <w:pPr>
      <w:spacing w:line="300" w:lineRule="exact"/>
      <w:ind w:left="420"/>
    </w:pPr>
    <w:rPr>
      <w:rFonts w:ascii="宋体"/>
    </w:rPr>
  </w:style>
  <w:style w:type="paragraph" w:styleId="17">
    <w:name w:val="Balloon Text"/>
    <w:basedOn w:val="1"/>
    <w:link w:val="49"/>
    <w:semiHidden/>
    <w:unhideWhenUsed/>
    <w:uiPriority w:val="99"/>
    <w:rPr>
      <w:sz w:val="18"/>
      <w:szCs w:val="18"/>
    </w:rPr>
  </w:style>
  <w:style w:type="paragraph" w:styleId="18">
    <w:name w:val="footer"/>
    <w:basedOn w:val="1"/>
    <w:link w:val="48"/>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7"/>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3"/>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uiPriority w:val="39"/>
    <w:pPr>
      <w:tabs>
        <w:tab w:val="right" w:leader="dot" w:pos="9344"/>
      </w:tabs>
      <w:spacing w:line="300" w:lineRule="exact"/>
      <w:ind w:left="210"/>
    </w:pPr>
    <w:rPr>
      <w:rFonts w:ascii="宋体"/>
    </w:rPr>
  </w:style>
  <w:style w:type="paragraph" w:styleId="26">
    <w:name w:val="Normal (Web)"/>
    <w:basedOn w:val="1"/>
    <w:semiHidden/>
    <w:unhideWhenUsed/>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7">
    <w:name w:val="Title"/>
    <w:basedOn w:val="1"/>
    <w:link w:val="52"/>
    <w:qFormat/>
    <w:uiPriority w:val="0"/>
    <w:pPr>
      <w:spacing w:before="240" w:after="60"/>
      <w:jc w:val="center"/>
      <w:outlineLvl w:val="0"/>
    </w:pPr>
    <w:rPr>
      <w:rFonts w:ascii="Arial" w:hAnsi="Arial" w:cs="Arial"/>
      <w:b/>
      <w:bCs/>
      <w:sz w:val="32"/>
      <w:szCs w:val="32"/>
    </w:rPr>
  </w:style>
  <w:style w:type="paragraph" w:styleId="28">
    <w:name w:val="annotation subject"/>
    <w:basedOn w:val="13"/>
    <w:next w:val="13"/>
    <w:link w:val="235"/>
    <w:semiHidden/>
    <w:unhideWhenUsed/>
    <w:uiPriority w:val="99"/>
    <w:rPr>
      <w:b/>
      <w:bCs/>
    </w:rPr>
  </w:style>
  <w:style w:type="table" w:styleId="30">
    <w:name w:val="Table Grid"/>
    <w:basedOn w:val="29"/>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2">
    <w:name w:val="Strong"/>
    <w:qFormat/>
    <w:uiPriority w:val="22"/>
    <w:rPr>
      <w:b/>
      <w:bCs/>
    </w:rPr>
  </w:style>
  <w:style w:type="character" w:styleId="33">
    <w:name w:val="page number"/>
    <w:qFormat/>
    <w:uiPriority w:val="0"/>
    <w:rPr>
      <w:rFonts w:ascii="宋体" w:hAnsi="Times New Roman" w:eastAsia="宋体"/>
      <w:sz w:val="18"/>
    </w:rPr>
  </w:style>
  <w:style w:type="character" w:styleId="34">
    <w:name w:val="Emphasis"/>
    <w:qFormat/>
    <w:uiPriority w:val="20"/>
    <w:rPr>
      <w:i/>
      <w:iCs/>
    </w:rPr>
  </w:style>
  <w:style w:type="character" w:styleId="35">
    <w:name w:val="Hyperlink"/>
    <w:uiPriority w:val="99"/>
    <w:rPr>
      <w:rFonts w:ascii="宋体" w:hAnsi="Times New Roman" w:eastAsia="宋体"/>
      <w:color w:val="auto"/>
      <w:spacing w:val="0"/>
      <w:w w:val="100"/>
      <w:position w:val="0"/>
      <w:sz w:val="21"/>
      <w:u w:val="none"/>
      <w:vertAlign w:val="baseline"/>
    </w:rPr>
  </w:style>
  <w:style w:type="character" w:styleId="36">
    <w:name w:val="annotation reference"/>
    <w:basedOn w:val="31"/>
    <w:semiHidden/>
    <w:unhideWhenUsed/>
    <w:uiPriority w:val="99"/>
    <w:rPr>
      <w:sz w:val="21"/>
      <w:szCs w:val="21"/>
    </w:rPr>
  </w:style>
  <w:style w:type="character" w:styleId="37">
    <w:name w:val="footnote reference"/>
    <w:semiHidden/>
    <w:uiPriority w:val="0"/>
    <w:rPr>
      <w:rFonts w:ascii="宋体" w:hAnsi="宋体" w:eastAsia="宋体" w:cs="Times New Roman"/>
      <w:spacing w:val="0"/>
      <w:sz w:val="18"/>
      <w:vertAlign w:val="superscript"/>
    </w:rPr>
  </w:style>
  <w:style w:type="character" w:customStyle="1" w:styleId="38">
    <w:name w:val="标题 1 Char"/>
    <w:link w:val="2"/>
    <w:uiPriority w:val="0"/>
    <w:rPr>
      <w:b/>
      <w:bCs/>
      <w:kern w:val="44"/>
      <w:sz w:val="44"/>
      <w:szCs w:val="44"/>
    </w:rPr>
  </w:style>
  <w:style w:type="character" w:customStyle="1" w:styleId="39">
    <w:name w:val="标题 2 Char"/>
    <w:link w:val="3"/>
    <w:qFormat/>
    <w:uiPriority w:val="0"/>
    <w:rPr>
      <w:rFonts w:ascii="Arial" w:hAnsi="Arial" w:eastAsia="黑体"/>
      <w:b/>
      <w:bCs/>
      <w:kern w:val="2"/>
      <w:sz w:val="32"/>
      <w:szCs w:val="32"/>
    </w:rPr>
  </w:style>
  <w:style w:type="character" w:customStyle="1" w:styleId="40">
    <w:name w:val="标题 3 Char"/>
    <w:link w:val="4"/>
    <w:uiPriority w:val="0"/>
    <w:rPr>
      <w:b/>
      <w:bCs/>
      <w:kern w:val="2"/>
      <w:sz w:val="32"/>
      <w:szCs w:val="32"/>
    </w:rPr>
  </w:style>
  <w:style w:type="character" w:customStyle="1" w:styleId="41">
    <w:name w:val="标题 4 Char"/>
    <w:link w:val="5"/>
    <w:uiPriority w:val="0"/>
    <w:rPr>
      <w:rFonts w:ascii="Arial" w:hAnsi="Arial" w:eastAsia="黑体"/>
      <w:b/>
      <w:bCs/>
      <w:kern w:val="2"/>
      <w:sz w:val="28"/>
      <w:szCs w:val="28"/>
    </w:rPr>
  </w:style>
  <w:style w:type="character" w:customStyle="1" w:styleId="42">
    <w:name w:val="标题 5 Char"/>
    <w:link w:val="6"/>
    <w:uiPriority w:val="0"/>
    <w:rPr>
      <w:b/>
      <w:bCs/>
      <w:kern w:val="2"/>
      <w:sz w:val="28"/>
      <w:szCs w:val="28"/>
    </w:rPr>
  </w:style>
  <w:style w:type="character" w:customStyle="1" w:styleId="43">
    <w:name w:val="标题 6 Char"/>
    <w:link w:val="7"/>
    <w:qFormat/>
    <w:uiPriority w:val="0"/>
    <w:rPr>
      <w:rFonts w:ascii="Arial" w:hAnsi="Arial" w:eastAsia="黑体"/>
      <w:b/>
      <w:bCs/>
      <w:kern w:val="2"/>
      <w:sz w:val="24"/>
      <w:szCs w:val="24"/>
    </w:rPr>
  </w:style>
  <w:style w:type="character" w:customStyle="1" w:styleId="44">
    <w:name w:val="标题 7 Char"/>
    <w:link w:val="8"/>
    <w:uiPriority w:val="0"/>
    <w:rPr>
      <w:b/>
      <w:bCs/>
      <w:kern w:val="2"/>
      <w:sz w:val="24"/>
      <w:szCs w:val="24"/>
    </w:rPr>
  </w:style>
  <w:style w:type="character" w:customStyle="1" w:styleId="45">
    <w:name w:val="标题 8 Char"/>
    <w:link w:val="9"/>
    <w:uiPriority w:val="0"/>
    <w:rPr>
      <w:rFonts w:ascii="Arial" w:hAnsi="Arial" w:eastAsia="黑体"/>
      <w:kern w:val="2"/>
      <w:sz w:val="24"/>
      <w:szCs w:val="24"/>
    </w:rPr>
  </w:style>
  <w:style w:type="character" w:customStyle="1" w:styleId="46">
    <w:name w:val="标题 9 Char"/>
    <w:link w:val="10"/>
    <w:uiPriority w:val="0"/>
    <w:rPr>
      <w:rFonts w:ascii="Arial" w:hAnsi="Arial" w:eastAsia="黑体"/>
      <w:kern w:val="2"/>
      <w:sz w:val="21"/>
      <w:szCs w:val="21"/>
    </w:rPr>
  </w:style>
  <w:style w:type="character" w:customStyle="1" w:styleId="47">
    <w:name w:val="页眉 Char"/>
    <w:link w:val="19"/>
    <w:uiPriority w:val="99"/>
    <w:rPr>
      <w:kern w:val="2"/>
      <w:sz w:val="18"/>
      <w:szCs w:val="18"/>
    </w:rPr>
  </w:style>
  <w:style w:type="character" w:customStyle="1" w:styleId="48">
    <w:name w:val="页脚 Char"/>
    <w:link w:val="18"/>
    <w:uiPriority w:val="99"/>
    <w:rPr>
      <w:rFonts w:ascii="宋体"/>
      <w:kern w:val="2"/>
      <w:sz w:val="18"/>
      <w:szCs w:val="18"/>
    </w:rPr>
  </w:style>
  <w:style w:type="character" w:customStyle="1" w:styleId="49">
    <w:name w:val="批注框文本 Char"/>
    <w:link w:val="17"/>
    <w:semiHidden/>
    <w:uiPriority w:val="99"/>
    <w:rPr>
      <w:kern w:val="2"/>
      <w:sz w:val="18"/>
      <w:szCs w:val="18"/>
    </w:rPr>
  </w:style>
  <w:style w:type="paragraph" w:styleId="50">
    <w:name w:val="Quote"/>
    <w:basedOn w:val="1"/>
    <w:next w:val="1"/>
    <w:link w:val="51"/>
    <w:qFormat/>
    <w:uiPriority w:val="29"/>
    <w:rPr>
      <w:i/>
      <w:iCs/>
      <w:color w:val="000000"/>
    </w:rPr>
  </w:style>
  <w:style w:type="character" w:customStyle="1" w:styleId="51">
    <w:name w:val="引用 Char"/>
    <w:link w:val="50"/>
    <w:uiPriority w:val="29"/>
    <w:rPr>
      <w:i/>
      <w:iCs/>
      <w:color w:val="000000"/>
      <w:kern w:val="2"/>
      <w:sz w:val="21"/>
      <w:szCs w:val="21"/>
    </w:rPr>
  </w:style>
  <w:style w:type="character" w:customStyle="1" w:styleId="52">
    <w:name w:val="标题 Char"/>
    <w:link w:val="27"/>
    <w:uiPriority w:val="0"/>
    <w:rPr>
      <w:rFonts w:ascii="Arial" w:hAnsi="Arial" w:cs="Arial"/>
      <w:b/>
      <w:bCs/>
      <w:kern w:val="2"/>
      <w:sz w:val="32"/>
      <w:szCs w:val="32"/>
    </w:rPr>
  </w:style>
  <w:style w:type="paragraph" w:customStyle="1" w:styleId="53">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4">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5">
    <w:name w:val="标准文件_页脚偶数页"/>
    <w:uiPriority w:val="0"/>
    <w:pPr>
      <w:ind w:left="198"/>
    </w:pPr>
    <w:rPr>
      <w:rFonts w:ascii="宋体" w:hAnsi="Times New Roman" w:eastAsia="宋体" w:cs="Times New Roman"/>
      <w:sz w:val="18"/>
      <w:lang w:val="en-US" w:eastAsia="zh-CN" w:bidi="ar-SA"/>
    </w:rPr>
  </w:style>
  <w:style w:type="paragraph" w:customStyle="1" w:styleId="56">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7">
    <w:name w:val="标准书眉一"/>
    <w:qFormat/>
    <w:uiPriority w:val="0"/>
    <w:pPr>
      <w:jc w:val="both"/>
    </w:pPr>
    <w:rPr>
      <w:rFonts w:ascii="Times New Roman" w:hAnsi="Times New Roman" w:eastAsia="宋体" w:cs="Times New Roman"/>
      <w:lang w:val="en-US" w:eastAsia="zh-CN" w:bidi="ar-SA"/>
    </w:rPr>
  </w:style>
  <w:style w:type="paragraph" w:customStyle="1" w:styleId="58">
    <w:name w:val="标准文件_ICS"/>
    <w:basedOn w:val="1"/>
    <w:qFormat/>
    <w:uiPriority w:val="0"/>
    <w:pPr>
      <w:spacing w:line="0" w:lineRule="atLeast"/>
    </w:pPr>
    <w:rPr>
      <w:rFonts w:ascii="黑体" w:hAnsi="宋体" w:eastAsia="黑体"/>
    </w:rPr>
  </w:style>
  <w:style w:type="paragraph" w:customStyle="1" w:styleId="59">
    <w:name w:val="标准文件_标准正文"/>
    <w:basedOn w:val="1"/>
    <w:next w:val="60"/>
    <w:qFormat/>
    <w:uiPriority w:val="0"/>
    <w:pPr>
      <w:snapToGrid w:val="0"/>
      <w:ind w:firstLine="200" w:firstLineChars="200"/>
    </w:pPr>
    <w:rPr>
      <w:kern w:val="0"/>
    </w:rPr>
  </w:style>
  <w:style w:type="paragraph" w:customStyle="1" w:styleId="60">
    <w:name w:val="标准文件_段"/>
    <w:link w:val="188"/>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1">
    <w:name w:val="标准文件_版本"/>
    <w:basedOn w:val="59"/>
    <w:qFormat/>
    <w:uiPriority w:val="0"/>
    <w:pPr>
      <w:adjustRightInd/>
      <w:snapToGrid/>
      <w:ind w:firstLine="0" w:firstLineChars="0"/>
    </w:pPr>
    <w:rPr>
      <w:rFonts w:ascii="宋体" w:hAnsi="宋体"/>
      <w:kern w:val="2"/>
    </w:rPr>
  </w:style>
  <w:style w:type="paragraph" w:customStyle="1" w:styleId="62">
    <w:name w:val="标准文件_标准部门"/>
    <w:basedOn w:val="1"/>
    <w:qFormat/>
    <w:uiPriority w:val="0"/>
    <w:pPr>
      <w:jc w:val="center"/>
    </w:pPr>
    <w:rPr>
      <w:rFonts w:ascii="黑体" w:eastAsia="黑体"/>
      <w:kern w:val="0"/>
      <w:sz w:val="44"/>
    </w:rPr>
  </w:style>
  <w:style w:type="paragraph" w:customStyle="1" w:styleId="63">
    <w:name w:val="标准文件_标准代替"/>
    <w:basedOn w:val="1"/>
    <w:next w:val="1"/>
    <w:qFormat/>
    <w:uiPriority w:val="0"/>
    <w:pPr>
      <w:spacing w:line="310" w:lineRule="exact"/>
      <w:jc w:val="right"/>
    </w:pPr>
    <w:rPr>
      <w:rFonts w:ascii="宋体" w:hAnsi="宋体"/>
      <w:kern w:val="0"/>
    </w:rPr>
  </w:style>
  <w:style w:type="paragraph" w:customStyle="1" w:styleId="64">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5">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6">
    <w:name w:val="标准文件_页眉偶数页"/>
    <w:basedOn w:val="65"/>
    <w:next w:val="1"/>
    <w:qFormat/>
    <w:uiPriority w:val="0"/>
    <w:pPr>
      <w:jc w:val="left"/>
    </w:pPr>
  </w:style>
  <w:style w:type="paragraph" w:customStyle="1" w:styleId="67">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8">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9">
    <w:name w:val="标准文件_二级条标题"/>
    <w:next w:val="60"/>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70">
    <w:name w:val="标准文件_发布"/>
    <w:qFormat/>
    <w:uiPriority w:val="0"/>
    <w:rPr>
      <w:rFonts w:ascii="黑体" w:eastAsia="黑体"/>
      <w:spacing w:val="0"/>
      <w:w w:val="100"/>
      <w:position w:val="3"/>
      <w:sz w:val="28"/>
    </w:rPr>
  </w:style>
  <w:style w:type="paragraph" w:customStyle="1" w:styleId="71">
    <w:name w:val="标准文件_方框数字列项"/>
    <w:basedOn w:val="60"/>
    <w:qFormat/>
    <w:uiPriority w:val="0"/>
    <w:pPr>
      <w:numPr>
        <w:ilvl w:val="0"/>
        <w:numId w:val="3"/>
      </w:numPr>
      <w:ind w:firstLine="0" w:firstLineChars="0"/>
    </w:pPr>
  </w:style>
  <w:style w:type="paragraph" w:customStyle="1" w:styleId="72">
    <w:name w:val="标准文件_封面标准编号"/>
    <w:basedOn w:val="1"/>
    <w:next w:val="63"/>
    <w:uiPriority w:val="0"/>
    <w:pPr>
      <w:spacing w:line="310" w:lineRule="exact"/>
      <w:jc w:val="right"/>
    </w:pPr>
    <w:rPr>
      <w:rFonts w:ascii="黑体" w:eastAsia="黑体"/>
      <w:kern w:val="0"/>
      <w:sz w:val="28"/>
    </w:rPr>
  </w:style>
  <w:style w:type="paragraph" w:customStyle="1" w:styleId="73">
    <w:name w:val="标准文件_封面标准分类号"/>
    <w:basedOn w:val="1"/>
    <w:qFormat/>
    <w:uiPriority w:val="0"/>
    <w:rPr>
      <w:rFonts w:ascii="黑体" w:eastAsia="黑体"/>
      <w:b/>
      <w:kern w:val="0"/>
      <w:sz w:val="28"/>
    </w:rPr>
  </w:style>
  <w:style w:type="paragraph" w:customStyle="1" w:styleId="74">
    <w:name w:val="标准文件_封面标准名称"/>
    <w:basedOn w:val="1"/>
    <w:qFormat/>
    <w:uiPriority w:val="0"/>
    <w:pPr>
      <w:spacing w:line="240" w:lineRule="auto"/>
      <w:jc w:val="center"/>
    </w:pPr>
    <w:rPr>
      <w:rFonts w:ascii="黑体" w:eastAsia="黑体"/>
      <w:kern w:val="0"/>
      <w:sz w:val="52"/>
    </w:rPr>
  </w:style>
  <w:style w:type="paragraph" w:customStyle="1" w:styleId="75">
    <w:name w:val="标准文件_封面标准英文名称"/>
    <w:basedOn w:val="1"/>
    <w:uiPriority w:val="0"/>
    <w:pPr>
      <w:spacing w:line="240" w:lineRule="auto"/>
      <w:jc w:val="center"/>
    </w:pPr>
    <w:rPr>
      <w:rFonts w:ascii="黑体" w:eastAsia="黑体"/>
      <w:b/>
      <w:sz w:val="28"/>
    </w:rPr>
  </w:style>
  <w:style w:type="paragraph" w:customStyle="1" w:styleId="76">
    <w:name w:val="标准文件_封面发布日期"/>
    <w:basedOn w:val="1"/>
    <w:uiPriority w:val="0"/>
    <w:pPr>
      <w:spacing w:line="310" w:lineRule="exact"/>
    </w:pPr>
    <w:rPr>
      <w:rFonts w:ascii="黑体" w:eastAsia="黑体"/>
      <w:kern w:val="0"/>
      <w:sz w:val="28"/>
    </w:rPr>
  </w:style>
  <w:style w:type="paragraph" w:customStyle="1" w:styleId="77">
    <w:name w:val="标准文件_封面密级"/>
    <w:basedOn w:val="1"/>
    <w:qFormat/>
    <w:uiPriority w:val="0"/>
    <w:rPr>
      <w:rFonts w:eastAsia="黑体"/>
      <w:sz w:val="32"/>
    </w:rPr>
  </w:style>
  <w:style w:type="paragraph" w:customStyle="1" w:styleId="78">
    <w:name w:val="标准文件_封面实施日期"/>
    <w:basedOn w:val="1"/>
    <w:qFormat/>
    <w:uiPriority w:val="0"/>
    <w:pPr>
      <w:spacing w:line="310" w:lineRule="exact"/>
      <w:jc w:val="right"/>
    </w:pPr>
    <w:rPr>
      <w:rFonts w:ascii="黑体" w:eastAsia="黑体"/>
      <w:sz w:val="28"/>
    </w:rPr>
  </w:style>
  <w:style w:type="paragraph" w:customStyle="1" w:styleId="79">
    <w:name w:val="标准文件_封面抬头"/>
    <w:basedOn w:val="60"/>
    <w:qFormat/>
    <w:uiPriority w:val="0"/>
    <w:pPr>
      <w:adjustRightInd w:val="0"/>
      <w:spacing w:line="800" w:lineRule="exact"/>
      <w:ind w:firstLine="0" w:firstLineChars="0"/>
      <w:jc w:val="distribute"/>
    </w:pPr>
    <w:rPr>
      <w:rFonts w:ascii="黑体" w:eastAsia="黑体"/>
      <w:b/>
      <w:sz w:val="64"/>
    </w:rPr>
  </w:style>
  <w:style w:type="paragraph" w:customStyle="1" w:styleId="80">
    <w:name w:val="标准文件_附录标识"/>
    <w:next w:val="60"/>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1">
    <w:name w:val="标准文件_附录表标题"/>
    <w:next w:val="60"/>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2">
    <w:name w:val="标准文件_附录一级条标题"/>
    <w:next w:val="60"/>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3">
    <w:name w:val="标准文件_附录二级条标题"/>
    <w:basedOn w:val="82"/>
    <w:next w:val="60"/>
    <w:qFormat/>
    <w:uiPriority w:val="0"/>
    <w:pPr>
      <w:widowControl/>
      <w:numPr>
        <w:ilvl w:val="2"/>
      </w:numPr>
      <w:wordWrap w:val="0"/>
      <w:overflowPunct w:val="0"/>
      <w:autoSpaceDE w:val="0"/>
      <w:autoSpaceDN w:val="0"/>
      <w:textAlignment w:val="baseline"/>
      <w:outlineLvl w:val="3"/>
    </w:pPr>
  </w:style>
  <w:style w:type="paragraph" w:customStyle="1" w:styleId="84">
    <w:name w:val="标准文件_附录公式"/>
    <w:basedOn w:val="59"/>
    <w:next w:val="59"/>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5">
    <w:name w:val="标准文件_附录三级条标题"/>
    <w:next w:val="60"/>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6">
    <w:name w:val="标准文件_附录四级条标题"/>
    <w:next w:val="60"/>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7">
    <w:name w:val="标准文件_附录图标题"/>
    <w:next w:val="60"/>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8">
    <w:name w:val="标准文件_附录五级条标题"/>
    <w:next w:val="60"/>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9">
    <w:name w:val="标准文件_附录英文标识"/>
    <w:next w:val="14"/>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0">
    <w:name w:val="正文文本 Char"/>
    <w:link w:val="14"/>
    <w:qFormat/>
    <w:uiPriority w:val="0"/>
    <w:rPr>
      <w:kern w:val="2"/>
      <w:sz w:val="21"/>
      <w:szCs w:val="21"/>
    </w:rPr>
  </w:style>
  <w:style w:type="paragraph" w:customStyle="1" w:styleId="91">
    <w:name w:val="标准文件_附录章标题"/>
    <w:next w:val="60"/>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2">
    <w:name w:val="标准文件_公式后的破折号"/>
    <w:basedOn w:val="60"/>
    <w:next w:val="60"/>
    <w:qFormat/>
    <w:uiPriority w:val="0"/>
    <w:pPr>
      <w:ind w:left="488" w:leftChars="200" w:hanging="289" w:hangingChars="290"/>
    </w:pPr>
  </w:style>
  <w:style w:type="paragraph" w:customStyle="1" w:styleId="93">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4">
    <w:name w:val="标准文件_目次、标准名称标题"/>
    <w:basedOn w:val="93"/>
    <w:next w:val="60"/>
    <w:qFormat/>
    <w:uiPriority w:val="0"/>
    <w:pPr>
      <w:spacing w:line="460" w:lineRule="exact"/>
      <w:ind w:left="0" w:firstLine="0"/>
    </w:pPr>
  </w:style>
  <w:style w:type="paragraph" w:customStyle="1" w:styleId="95">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6">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7">
    <w:name w:val="标准文件_破折号列项（二级）"/>
    <w:basedOn w:val="96"/>
    <w:qFormat/>
    <w:uiPriority w:val="0"/>
    <w:pPr>
      <w:numPr>
        <w:numId w:val="10"/>
      </w:numPr>
    </w:pPr>
  </w:style>
  <w:style w:type="paragraph" w:customStyle="1" w:styleId="98">
    <w:name w:val="标准文件_三级条标题"/>
    <w:basedOn w:val="69"/>
    <w:next w:val="60"/>
    <w:qFormat/>
    <w:uiPriority w:val="0"/>
    <w:pPr>
      <w:widowControl/>
      <w:numPr>
        <w:ilvl w:val="4"/>
      </w:numPr>
      <w:ind w:left="0"/>
      <w:outlineLvl w:val="3"/>
    </w:pPr>
  </w:style>
  <w:style w:type="character" w:customStyle="1" w:styleId="99">
    <w:name w:val="不明显参考1"/>
    <w:qFormat/>
    <w:uiPriority w:val="31"/>
    <w:rPr>
      <w:smallCaps/>
      <w:color w:val="C0504D"/>
      <w:u w:val="single"/>
    </w:rPr>
  </w:style>
  <w:style w:type="paragraph" w:customStyle="1" w:styleId="100">
    <w:name w:val="标准文件_示例后续"/>
    <w:basedOn w:val="1"/>
    <w:qFormat/>
    <w:uiPriority w:val="0"/>
    <w:pPr>
      <w:adjustRightInd/>
      <w:spacing w:line="240" w:lineRule="auto"/>
      <w:ind w:firstLine="200" w:firstLineChars="200"/>
    </w:pPr>
    <w:rPr>
      <w:sz w:val="18"/>
      <w:szCs w:val="24"/>
    </w:rPr>
  </w:style>
  <w:style w:type="paragraph" w:customStyle="1" w:styleId="101">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2">
    <w:name w:val="标准文件_四级条标题"/>
    <w:next w:val="60"/>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3">
    <w:name w:val="脚注文本 Char"/>
    <w:link w:val="22"/>
    <w:semiHidden/>
    <w:qFormat/>
    <w:uiPriority w:val="0"/>
    <w:rPr>
      <w:rFonts w:ascii="宋体"/>
      <w:kern w:val="2"/>
      <w:sz w:val="18"/>
      <w:szCs w:val="18"/>
    </w:rPr>
  </w:style>
  <w:style w:type="paragraph" w:customStyle="1" w:styleId="104">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5">
    <w:name w:val="标准文件_图表脚注"/>
    <w:basedOn w:val="1"/>
    <w:next w:val="60"/>
    <w:uiPriority w:val="0"/>
    <w:pPr>
      <w:numPr>
        <w:ilvl w:val="0"/>
        <w:numId w:val="12"/>
      </w:numPr>
      <w:spacing w:line="240" w:lineRule="auto"/>
      <w:jc w:val="left"/>
    </w:pPr>
    <w:rPr>
      <w:rFonts w:ascii="宋体" w:hAnsi="宋体"/>
      <w:sz w:val="18"/>
    </w:rPr>
  </w:style>
  <w:style w:type="character" w:customStyle="1" w:styleId="106">
    <w:name w:val="标准文件_图表脚注内容"/>
    <w:qFormat/>
    <w:uiPriority w:val="0"/>
    <w:rPr>
      <w:rFonts w:ascii="宋体" w:hAnsi="宋体" w:eastAsia="宋体" w:cs="Times New Roman"/>
      <w:spacing w:val="0"/>
      <w:sz w:val="18"/>
      <w:vertAlign w:val="superscript"/>
    </w:rPr>
  </w:style>
  <w:style w:type="paragraph" w:customStyle="1" w:styleId="107">
    <w:name w:val="标准文件_五级条标题"/>
    <w:next w:val="60"/>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8">
    <w:name w:val="标准文件_章标题"/>
    <w:next w:val="60"/>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9">
    <w:name w:val="标准文件_一级条标题"/>
    <w:basedOn w:val="108"/>
    <w:next w:val="60"/>
    <w:qFormat/>
    <w:uiPriority w:val="0"/>
    <w:pPr>
      <w:numPr>
        <w:ilvl w:val="2"/>
      </w:numPr>
      <w:spacing w:before="50" w:beforeLines="50" w:after="50" w:afterLines="50"/>
      <w:ind w:left="0"/>
      <w:outlineLvl w:val="1"/>
    </w:pPr>
  </w:style>
  <w:style w:type="paragraph" w:customStyle="1" w:styleId="110">
    <w:name w:val="标准文件_一致程度"/>
    <w:basedOn w:val="1"/>
    <w:qFormat/>
    <w:uiPriority w:val="0"/>
    <w:pPr>
      <w:spacing w:line="440" w:lineRule="exact"/>
      <w:jc w:val="center"/>
    </w:pPr>
    <w:rPr>
      <w:sz w:val="28"/>
    </w:rPr>
  </w:style>
  <w:style w:type="paragraph" w:customStyle="1" w:styleId="111">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2">
    <w:name w:val="标准文件_英文图表脚注"/>
    <w:basedOn w:val="59"/>
    <w:qFormat/>
    <w:uiPriority w:val="0"/>
    <w:pPr>
      <w:widowControl/>
      <w:adjustRightInd/>
      <w:snapToGrid/>
      <w:spacing w:line="240" w:lineRule="auto"/>
      <w:ind w:left="79" w:hanging="79" w:hangingChars="80"/>
    </w:pPr>
    <w:rPr>
      <w:rFonts w:ascii="宋体" w:hAnsi="宋体"/>
    </w:rPr>
  </w:style>
  <w:style w:type="paragraph" w:customStyle="1" w:styleId="113">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4">
    <w:name w:val="标准文件_英文注："/>
    <w:basedOn w:val="1"/>
    <w:next w:val="60"/>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5">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6">
    <w:name w:val="标准文件_正文表标题"/>
    <w:next w:val="60"/>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公式"/>
    <w:basedOn w:val="1"/>
    <w:next w:val="59"/>
    <w:uiPriority w:val="0"/>
    <w:pPr>
      <w:tabs>
        <w:tab w:val="center" w:pos="4678"/>
        <w:tab w:val="right" w:leader="middleDot" w:pos="9356"/>
      </w:tabs>
      <w:spacing w:line="240" w:lineRule="auto"/>
    </w:pPr>
    <w:rPr>
      <w:rFonts w:ascii="宋体" w:hAnsi="宋体"/>
    </w:rPr>
  </w:style>
  <w:style w:type="paragraph" w:customStyle="1" w:styleId="118">
    <w:name w:val="标准文件_正文图标题"/>
    <w:next w:val="60"/>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9">
    <w:name w:val="标准文件_正文英文表标题"/>
    <w:next w:val="60"/>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0">
    <w:name w:val="标准文件_正文英文图标题"/>
    <w:next w:val="60"/>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1">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22">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3">
    <w:name w:val="发布部门"/>
    <w:next w:val="60"/>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4">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5">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6">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7">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8">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9">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0">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1">
    <w:name w:val="封面正文"/>
    <w:qFormat/>
    <w:uiPriority w:val="0"/>
    <w:pPr>
      <w:jc w:val="both"/>
    </w:pPr>
    <w:rPr>
      <w:rFonts w:ascii="Times New Roman" w:hAnsi="Times New Roman" w:eastAsia="宋体" w:cs="Times New Roman"/>
      <w:lang w:val="en-US" w:eastAsia="zh-CN" w:bidi="ar-SA"/>
    </w:rPr>
  </w:style>
  <w:style w:type="paragraph" w:customStyle="1" w:styleId="132">
    <w:name w:val="附录二级无标题条"/>
    <w:basedOn w:val="1"/>
    <w:next w:val="60"/>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3">
    <w:name w:val="附录三级无标题条"/>
    <w:basedOn w:val="132"/>
    <w:next w:val="60"/>
    <w:qFormat/>
    <w:uiPriority w:val="0"/>
    <w:pPr>
      <w:outlineLvl w:val="4"/>
    </w:pPr>
  </w:style>
  <w:style w:type="paragraph" w:customStyle="1" w:styleId="134">
    <w:name w:val="附录四级无标题条"/>
    <w:basedOn w:val="133"/>
    <w:next w:val="60"/>
    <w:qFormat/>
    <w:uiPriority w:val="0"/>
    <w:pPr>
      <w:outlineLvl w:val="5"/>
    </w:pPr>
  </w:style>
  <w:style w:type="paragraph" w:customStyle="1" w:styleId="135">
    <w:name w:val="附录图"/>
    <w:next w:val="60"/>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6">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7">
    <w:name w:val="附录五级无标题条"/>
    <w:basedOn w:val="134"/>
    <w:next w:val="60"/>
    <w:qFormat/>
    <w:uiPriority w:val="0"/>
    <w:pPr>
      <w:outlineLvl w:val="6"/>
    </w:pPr>
  </w:style>
  <w:style w:type="paragraph" w:customStyle="1" w:styleId="138">
    <w:name w:val="附录性质"/>
    <w:basedOn w:val="1"/>
    <w:qFormat/>
    <w:uiPriority w:val="0"/>
    <w:pPr>
      <w:widowControl/>
      <w:adjustRightInd/>
      <w:jc w:val="center"/>
    </w:pPr>
    <w:rPr>
      <w:rFonts w:ascii="黑体" w:eastAsia="黑体"/>
    </w:rPr>
  </w:style>
  <w:style w:type="paragraph" w:customStyle="1" w:styleId="139">
    <w:name w:val="附录一级无标题条"/>
    <w:basedOn w:val="91"/>
    <w:next w:val="60"/>
    <w:qFormat/>
    <w:uiPriority w:val="0"/>
    <w:pPr>
      <w:autoSpaceDN w:val="0"/>
      <w:outlineLvl w:val="2"/>
    </w:pPr>
    <w:rPr>
      <w:rFonts w:ascii="宋体" w:hAnsi="宋体" w:eastAsia="宋体"/>
    </w:rPr>
  </w:style>
  <w:style w:type="character" w:customStyle="1" w:styleId="140">
    <w:name w:val="个人答复风格"/>
    <w:qFormat/>
    <w:uiPriority w:val="0"/>
    <w:rPr>
      <w:rFonts w:ascii="Arial" w:hAnsi="Arial" w:eastAsia="宋体" w:cs="Arial"/>
      <w:color w:val="auto"/>
      <w:spacing w:val="0"/>
      <w:sz w:val="20"/>
    </w:rPr>
  </w:style>
  <w:style w:type="character" w:customStyle="1" w:styleId="141">
    <w:name w:val="个人撰写风格"/>
    <w:qFormat/>
    <w:uiPriority w:val="0"/>
    <w:rPr>
      <w:rFonts w:ascii="Arial" w:hAnsi="Arial" w:eastAsia="宋体" w:cs="Arial"/>
      <w:color w:val="auto"/>
      <w:spacing w:val="0"/>
      <w:sz w:val="20"/>
    </w:rPr>
  </w:style>
  <w:style w:type="paragraph" w:customStyle="1" w:styleId="142">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3">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4">
    <w:name w:val="列项·"/>
    <w:basedOn w:val="60"/>
    <w:qFormat/>
    <w:uiPriority w:val="0"/>
    <w:pPr>
      <w:tabs>
        <w:tab w:val="left" w:pos="840"/>
      </w:tabs>
    </w:pPr>
  </w:style>
  <w:style w:type="paragraph" w:customStyle="1" w:styleId="145">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6">
    <w:name w:val="目录 21"/>
    <w:basedOn w:val="1"/>
    <w:next w:val="1"/>
    <w:semiHidden/>
    <w:qFormat/>
    <w:uiPriority w:val="0"/>
    <w:pPr>
      <w:adjustRightInd/>
      <w:spacing w:line="240" w:lineRule="auto"/>
      <w:jc w:val="left"/>
    </w:pPr>
    <w:rPr>
      <w:bCs/>
      <w:iCs/>
    </w:rPr>
  </w:style>
  <w:style w:type="paragraph" w:customStyle="1" w:styleId="147">
    <w:name w:val="目录 31"/>
    <w:basedOn w:val="1"/>
    <w:next w:val="1"/>
    <w:semiHidden/>
    <w:qFormat/>
    <w:uiPriority w:val="0"/>
    <w:pPr>
      <w:spacing w:line="240" w:lineRule="auto"/>
    </w:pPr>
    <w:rPr>
      <w:rFonts w:ascii="宋体" w:hAnsi="宋体"/>
      <w:iCs/>
    </w:rPr>
  </w:style>
  <w:style w:type="paragraph" w:customStyle="1" w:styleId="148">
    <w:name w:val="目录 41"/>
    <w:basedOn w:val="1"/>
    <w:next w:val="1"/>
    <w:semiHidden/>
    <w:qFormat/>
    <w:uiPriority w:val="0"/>
    <w:pPr>
      <w:adjustRightInd/>
      <w:spacing w:line="240" w:lineRule="auto"/>
      <w:jc w:val="left"/>
    </w:pPr>
  </w:style>
  <w:style w:type="paragraph" w:customStyle="1" w:styleId="149">
    <w:name w:val="目录 51"/>
    <w:basedOn w:val="1"/>
    <w:next w:val="1"/>
    <w:semiHidden/>
    <w:qFormat/>
    <w:uiPriority w:val="0"/>
    <w:pPr>
      <w:spacing w:line="240" w:lineRule="auto"/>
    </w:pPr>
    <w:rPr>
      <w:rFonts w:ascii="宋体" w:hAnsi="宋体"/>
    </w:rPr>
  </w:style>
  <w:style w:type="paragraph" w:customStyle="1" w:styleId="150">
    <w:name w:val="目录 61"/>
    <w:basedOn w:val="1"/>
    <w:next w:val="1"/>
    <w:semiHidden/>
    <w:qFormat/>
    <w:uiPriority w:val="0"/>
    <w:pPr>
      <w:adjustRightInd/>
      <w:spacing w:line="240" w:lineRule="auto"/>
      <w:jc w:val="left"/>
    </w:pPr>
  </w:style>
  <w:style w:type="paragraph" w:customStyle="1" w:styleId="151">
    <w:name w:val="目录 71"/>
    <w:basedOn w:val="150"/>
    <w:semiHidden/>
    <w:qFormat/>
    <w:uiPriority w:val="0"/>
    <w:pPr>
      <w:ind w:left="1260"/>
    </w:pPr>
  </w:style>
  <w:style w:type="paragraph" w:customStyle="1" w:styleId="152">
    <w:name w:val="目录 81"/>
    <w:basedOn w:val="151"/>
    <w:semiHidden/>
    <w:qFormat/>
    <w:uiPriority w:val="0"/>
    <w:pPr>
      <w:ind w:left="1470"/>
    </w:pPr>
  </w:style>
  <w:style w:type="paragraph" w:customStyle="1" w:styleId="153">
    <w:name w:val="目录 91"/>
    <w:basedOn w:val="152"/>
    <w:semiHidden/>
    <w:qFormat/>
    <w:uiPriority w:val="0"/>
    <w:pPr>
      <w:ind w:left="1680"/>
    </w:pPr>
  </w:style>
  <w:style w:type="paragraph" w:customStyle="1" w:styleId="154">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5">
    <w:name w:val="其他发布部门"/>
    <w:basedOn w:val="123"/>
    <w:qFormat/>
    <w:uiPriority w:val="0"/>
    <w:pPr>
      <w:framePr w:wrap="around"/>
      <w:spacing w:line="0" w:lineRule="atLeast"/>
    </w:pPr>
    <w:rPr>
      <w:rFonts w:ascii="黑体" w:eastAsia="黑体"/>
      <w:b w:val="0"/>
    </w:rPr>
  </w:style>
  <w:style w:type="paragraph" w:customStyle="1" w:styleId="156">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7">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8">
    <w:name w:val="实施日期"/>
    <w:basedOn w:val="124"/>
    <w:qFormat/>
    <w:uiPriority w:val="0"/>
    <w:pPr>
      <w:framePr w:hSpace="0" w:wrap="around" w:xAlign="right"/>
      <w:jc w:val="right"/>
    </w:pPr>
  </w:style>
  <w:style w:type="paragraph" w:customStyle="1" w:styleId="159">
    <w:name w:val="四级无标题条"/>
    <w:basedOn w:val="1"/>
    <w:qFormat/>
    <w:uiPriority w:val="0"/>
    <w:pPr>
      <w:numPr>
        <w:ilvl w:val="5"/>
        <w:numId w:val="20"/>
      </w:numPr>
      <w:adjustRightInd/>
      <w:spacing w:line="240" w:lineRule="auto"/>
    </w:pPr>
    <w:rPr>
      <w:rFonts w:ascii="宋体" w:hAnsi="宋体"/>
      <w:szCs w:val="24"/>
    </w:rPr>
  </w:style>
  <w:style w:type="paragraph" w:customStyle="1" w:styleId="160">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1">
    <w:name w:val="无标题条"/>
    <w:next w:val="60"/>
    <w:qFormat/>
    <w:uiPriority w:val="0"/>
    <w:pPr>
      <w:jc w:val="both"/>
    </w:pPr>
    <w:rPr>
      <w:rFonts w:ascii="宋体" w:hAnsi="宋体" w:eastAsia="宋体" w:cs="Times New Roman"/>
      <w:sz w:val="21"/>
      <w:lang w:val="en-US" w:eastAsia="zh-CN" w:bidi="ar-SA"/>
    </w:rPr>
  </w:style>
  <w:style w:type="paragraph" w:customStyle="1" w:styleId="162">
    <w:name w:val="五级无标题条"/>
    <w:basedOn w:val="1"/>
    <w:qFormat/>
    <w:uiPriority w:val="0"/>
    <w:pPr>
      <w:numPr>
        <w:ilvl w:val="6"/>
        <w:numId w:val="20"/>
      </w:numPr>
      <w:adjustRightInd/>
    </w:pPr>
    <w:rPr>
      <w:szCs w:val="24"/>
    </w:rPr>
  </w:style>
  <w:style w:type="paragraph" w:customStyle="1" w:styleId="163">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4">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5">
    <w:name w:val="注×:后续"/>
    <w:basedOn w:val="164"/>
    <w:qFormat/>
    <w:uiPriority w:val="0"/>
    <w:pPr>
      <w:ind w:left="1406" w:leftChars="0" w:hanging="499" w:firstLineChars="0"/>
    </w:pPr>
  </w:style>
  <w:style w:type="paragraph" w:customStyle="1" w:styleId="166">
    <w:name w:val="标准文件_一级无标题"/>
    <w:basedOn w:val="109"/>
    <w:qFormat/>
    <w:uiPriority w:val="0"/>
    <w:pPr>
      <w:spacing w:before="0" w:beforeLines="0" w:after="0" w:afterLines="0"/>
      <w:outlineLvl w:val="9"/>
    </w:pPr>
    <w:rPr>
      <w:rFonts w:ascii="宋体" w:eastAsia="宋体"/>
    </w:rPr>
  </w:style>
  <w:style w:type="paragraph" w:customStyle="1" w:styleId="167">
    <w:name w:val="标准文件_五级无标题"/>
    <w:basedOn w:val="107"/>
    <w:qFormat/>
    <w:uiPriority w:val="0"/>
    <w:pPr>
      <w:spacing w:before="0" w:beforeLines="0" w:after="0" w:afterLines="0"/>
      <w:outlineLvl w:val="9"/>
    </w:pPr>
    <w:rPr>
      <w:rFonts w:ascii="宋体" w:eastAsia="宋体"/>
    </w:rPr>
  </w:style>
  <w:style w:type="paragraph" w:customStyle="1" w:styleId="168">
    <w:name w:val="标准文件_三级无标题"/>
    <w:basedOn w:val="98"/>
    <w:qFormat/>
    <w:uiPriority w:val="0"/>
    <w:pPr>
      <w:spacing w:before="0" w:beforeLines="0" w:after="0" w:afterLines="0"/>
      <w:outlineLvl w:val="9"/>
    </w:pPr>
    <w:rPr>
      <w:rFonts w:ascii="宋体" w:eastAsia="宋体"/>
    </w:rPr>
  </w:style>
  <w:style w:type="paragraph" w:customStyle="1" w:styleId="169">
    <w:name w:val="标准文件_二级无标题"/>
    <w:basedOn w:val="69"/>
    <w:qFormat/>
    <w:uiPriority w:val="0"/>
    <w:pPr>
      <w:spacing w:before="0" w:beforeLines="0" w:after="0" w:afterLines="0"/>
      <w:outlineLvl w:val="9"/>
    </w:pPr>
    <w:rPr>
      <w:rFonts w:ascii="宋体" w:eastAsia="宋体"/>
    </w:rPr>
  </w:style>
  <w:style w:type="paragraph" w:customStyle="1" w:styleId="170">
    <w:name w:val="标准_四级无标题"/>
    <w:basedOn w:val="102"/>
    <w:next w:val="60"/>
    <w:qFormat/>
    <w:uiPriority w:val="0"/>
    <w:rPr>
      <w:rFonts w:eastAsia="宋体"/>
    </w:rPr>
  </w:style>
  <w:style w:type="paragraph" w:customStyle="1" w:styleId="171">
    <w:name w:val="标准文件_四级无标题"/>
    <w:basedOn w:val="102"/>
    <w:qFormat/>
    <w:uiPriority w:val="0"/>
    <w:pPr>
      <w:spacing w:before="0" w:beforeLines="0" w:after="0" w:afterLines="0"/>
      <w:outlineLvl w:val="9"/>
    </w:pPr>
    <w:rPr>
      <w:rFonts w:ascii="宋体" w:hAnsi="黑体" w:eastAsia="宋体"/>
      <w:szCs w:val="52"/>
    </w:rPr>
  </w:style>
  <w:style w:type="paragraph" w:customStyle="1" w:styleId="172">
    <w:name w:val="标准文件_大写罗马数字编号列项"/>
    <w:basedOn w:val="60"/>
    <w:qFormat/>
    <w:uiPriority w:val="0"/>
    <w:pPr>
      <w:numPr>
        <w:ilvl w:val="0"/>
        <w:numId w:val="23"/>
      </w:numPr>
      <w:ind w:firstLine="0" w:firstLineChars="0"/>
    </w:pPr>
    <w:rPr>
      <w:rFonts w:ascii="Times New Roman" w:cs="Arial"/>
      <w:szCs w:val="28"/>
    </w:rPr>
  </w:style>
  <w:style w:type="paragraph" w:customStyle="1" w:styleId="173">
    <w:name w:val="标准文件_小写罗马数字编号列项"/>
    <w:basedOn w:val="60"/>
    <w:qFormat/>
    <w:uiPriority w:val="0"/>
    <w:pPr>
      <w:numPr>
        <w:ilvl w:val="0"/>
        <w:numId w:val="24"/>
      </w:numPr>
      <w:ind w:firstLine="0" w:firstLineChars="0"/>
    </w:pPr>
    <w:rPr>
      <w:rFonts w:cs="Arial"/>
      <w:szCs w:val="28"/>
    </w:rPr>
  </w:style>
  <w:style w:type="paragraph" w:customStyle="1" w:styleId="174">
    <w:name w:val="标准文件_附录标题"/>
    <w:basedOn w:val="80"/>
    <w:qFormat/>
    <w:uiPriority w:val="0"/>
    <w:pPr>
      <w:numPr>
        <w:numId w:val="0"/>
      </w:numPr>
      <w:spacing w:after="280"/>
      <w:outlineLvl w:val="9"/>
    </w:pPr>
  </w:style>
  <w:style w:type="paragraph" w:customStyle="1" w:styleId="175">
    <w:name w:val="标准文件_二级项"/>
    <w:qFormat/>
    <w:uiPriority w:val="0"/>
    <w:rPr>
      <w:rFonts w:ascii="宋体" w:hAnsi="Times New Roman" w:eastAsia="宋体" w:cs="Times New Roman"/>
      <w:sz w:val="21"/>
      <w:lang w:val="en-US" w:eastAsia="zh-CN" w:bidi="ar-SA"/>
    </w:rPr>
  </w:style>
  <w:style w:type="paragraph" w:customStyle="1" w:styleId="176">
    <w:name w:val="标准文件_三级项"/>
    <w:basedOn w:val="1"/>
    <w:qFormat/>
    <w:uiPriority w:val="0"/>
    <w:pPr>
      <w:numPr>
        <w:ilvl w:val="2"/>
        <w:numId w:val="21"/>
      </w:numPr>
      <w:spacing w:line="536870612" w:lineRule="auto"/>
    </w:pPr>
    <w:rPr>
      <w:rFonts w:ascii="Times New Roman" w:hAnsi="Times New Roman"/>
    </w:rPr>
  </w:style>
  <w:style w:type="paragraph" w:customStyle="1" w:styleId="177">
    <w:name w:val="图表脚注说明"/>
    <w:basedOn w:val="1"/>
    <w:next w:val="60"/>
    <w:qFormat/>
    <w:uiPriority w:val="0"/>
    <w:pPr>
      <w:numPr>
        <w:ilvl w:val="0"/>
        <w:numId w:val="25"/>
      </w:numPr>
      <w:adjustRightInd/>
      <w:spacing w:line="240" w:lineRule="auto"/>
    </w:pPr>
    <w:rPr>
      <w:rFonts w:ascii="宋体" w:hAnsi="Times New Roman"/>
      <w:sz w:val="18"/>
      <w:szCs w:val="18"/>
    </w:rPr>
  </w:style>
  <w:style w:type="paragraph" w:customStyle="1" w:styleId="178">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9">
    <w:name w:val="标准文件_索引字母"/>
    <w:next w:val="60"/>
    <w:qFormat/>
    <w:uiPriority w:val="0"/>
    <w:pPr>
      <w:jc w:val="center"/>
    </w:pPr>
    <w:rPr>
      <w:rFonts w:ascii="宋体" w:hAnsi="宋体" w:eastAsia="Times New Roman" w:cs="Times New Roman"/>
      <w:b/>
      <w:kern w:val="2"/>
      <w:sz w:val="21"/>
      <w:lang w:val="en-US" w:eastAsia="zh-CN" w:bidi="ar-SA"/>
    </w:rPr>
  </w:style>
  <w:style w:type="paragraph" w:customStyle="1" w:styleId="180">
    <w:name w:val="标准文件_附录前"/>
    <w:next w:val="60"/>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1">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2">
    <w:name w:val="标准文件_表格"/>
    <w:basedOn w:val="60"/>
    <w:qFormat/>
    <w:uiPriority w:val="0"/>
    <w:pPr>
      <w:ind w:firstLine="0" w:firstLineChars="0"/>
      <w:jc w:val="center"/>
    </w:pPr>
    <w:rPr>
      <w:sz w:val="18"/>
    </w:rPr>
  </w:style>
  <w:style w:type="paragraph" w:customStyle="1" w:styleId="183">
    <w:name w:val="标准文件_注："/>
    <w:next w:val="60"/>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示例："/>
    <w:next w:val="186"/>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6">
    <w:name w:val="标准文件_示例内容"/>
    <w:basedOn w:val="60"/>
    <w:qFormat/>
    <w:uiPriority w:val="0"/>
    <w:pPr>
      <w:ind w:firstLine="420"/>
    </w:pPr>
    <w:rPr>
      <w:sz w:val="18"/>
    </w:rPr>
  </w:style>
  <w:style w:type="paragraph" w:customStyle="1" w:styleId="187">
    <w:name w:val="标准文件_示例×："/>
    <w:basedOn w:val="1"/>
    <w:next w:val="186"/>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8">
    <w:name w:val="标准文件_段 Char"/>
    <w:link w:val="60"/>
    <w:qFormat/>
    <w:uiPriority w:val="0"/>
    <w:rPr>
      <w:rFonts w:ascii="宋体" w:hAnsi="Times New Roman"/>
      <w:sz w:val="21"/>
    </w:rPr>
  </w:style>
  <w:style w:type="paragraph" w:customStyle="1" w:styleId="189">
    <w:name w:val="标准文件_表格续"/>
    <w:basedOn w:val="60"/>
    <w:next w:val="60"/>
    <w:qFormat/>
    <w:uiPriority w:val="0"/>
    <w:pPr>
      <w:jc w:val="center"/>
    </w:pPr>
    <w:rPr>
      <w:rFonts w:ascii="黑体" w:hAnsi="黑体" w:eastAsia="黑体"/>
    </w:rPr>
  </w:style>
  <w:style w:type="character" w:styleId="190">
    <w:name w:val="Placeholder Text"/>
    <w:basedOn w:val="31"/>
    <w:semiHidden/>
    <w:qFormat/>
    <w:uiPriority w:val="99"/>
    <w:rPr>
      <w:color w:val="808080"/>
    </w:rPr>
  </w:style>
  <w:style w:type="paragraph" w:customStyle="1" w:styleId="191">
    <w:name w:val="标准文件_二级项2"/>
    <w:basedOn w:val="60"/>
    <w:qFormat/>
    <w:uiPriority w:val="0"/>
    <w:pPr>
      <w:numPr>
        <w:ilvl w:val="1"/>
        <w:numId w:val="21"/>
      </w:numPr>
      <w:ind w:firstLine="0" w:firstLineChars="0"/>
    </w:pPr>
  </w:style>
  <w:style w:type="paragraph" w:customStyle="1" w:styleId="192">
    <w:name w:val="标准文件_三级项2"/>
    <w:basedOn w:val="60"/>
    <w:qFormat/>
    <w:uiPriority w:val="0"/>
    <w:pPr>
      <w:numPr>
        <w:ilvl w:val="0"/>
        <w:numId w:val="30"/>
      </w:numPr>
      <w:spacing w:line="300" w:lineRule="exact"/>
      <w:ind w:firstLineChars="0"/>
    </w:pPr>
    <w:rPr>
      <w:rFonts w:ascii="Times New Roman"/>
    </w:rPr>
  </w:style>
  <w:style w:type="paragraph" w:customStyle="1" w:styleId="193">
    <w:name w:val="标准文件_一级项2"/>
    <w:basedOn w:val="60"/>
    <w:qFormat/>
    <w:uiPriority w:val="0"/>
    <w:pPr>
      <w:numPr>
        <w:ilvl w:val="0"/>
        <w:numId w:val="31"/>
      </w:numPr>
      <w:spacing w:line="300" w:lineRule="exact"/>
      <w:ind w:firstLineChars="0"/>
    </w:pPr>
    <w:rPr>
      <w:rFonts w:ascii="Times New Roman"/>
    </w:rPr>
  </w:style>
  <w:style w:type="paragraph" w:customStyle="1" w:styleId="194">
    <w:name w:val="标准文件_提示"/>
    <w:basedOn w:val="60"/>
    <w:next w:val="60"/>
    <w:qFormat/>
    <w:uiPriority w:val="0"/>
    <w:pPr>
      <w:ind w:firstLine="420"/>
    </w:pPr>
    <w:rPr>
      <w:rFonts w:ascii="黑体" w:eastAsia="黑体"/>
    </w:rPr>
  </w:style>
  <w:style w:type="character" w:customStyle="1" w:styleId="195">
    <w:name w:val="标准文件_来源"/>
    <w:basedOn w:val="31"/>
    <w:qFormat/>
    <w:uiPriority w:val="1"/>
    <w:rPr>
      <w:rFonts w:eastAsia="宋体"/>
      <w:sz w:val="21"/>
    </w:rPr>
  </w:style>
  <w:style w:type="paragraph" w:customStyle="1" w:styleId="196">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7">
    <w:name w:val="其他发布日期"/>
    <w:basedOn w:val="124"/>
    <w:qFormat/>
    <w:uiPriority w:val="0"/>
    <w:pPr>
      <w:framePr w:w="3997" w:h="471" w:hRule="exact" w:hSpace="0" w:vSpace="181" w:wrap="around" w:vAnchor="page" w:hAnchor="page" w:x="1419" w:y="14097"/>
    </w:pPr>
  </w:style>
  <w:style w:type="paragraph" w:customStyle="1" w:styleId="198">
    <w:name w:val="其他实施日期"/>
    <w:basedOn w:val="158"/>
    <w:qFormat/>
    <w:uiPriority w:val="0"/>
    <w:pPr>
      <w:framePr w:w="3997" w:h="471" w:hRule="exact" w:vSpace="181" w:wrap="around" w:vAnchor="page" w:hAnchor="page" w:x="7089" w:y="14097"/>
    </w:pPr>
  </w:style>
  <w:style w:type="paragraph" w:customStyle="1" w:styleId="199">
    <w:name w:val="标准文件_文件编号"/>
    <w:basedOn w:val="60"/>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0">
    <w:name w:val="标准文件_替换文件编号"/>
    <w:basedOn w:val="199"/>
    <w:qFormat/>
    <w:uiPriority w:val="0"/>
    <w:pPr>
      <w:framePr/>
      <w:spacing w:before="57"/>
    </w:pPr>
    <w:rPr>
      <w:sz w:val="21"/>
    </w:rPr>
  </w:style>
  <w:style w:type="paragraph" w:customStyle="1" w:styleId="201">
    <w:name w:val="标准文件_文件名称"/>
    <w:basedOn w:val="60"/>
    <w:next w:val="60"/>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2">
    <w:name w:val="标准文件_附录图标号"/>
    <w:basedOn w:val="60"/>
    <w:next w:val="60"/>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3">
    <w:name w:val="标准文件_附录表标号"/>
    <w:basedOn w:val="60"/>
    <w:next w:val="60"/>
    <w:qFormat/>
    <w:uiPriority w:val="0"/>
    <w:pPr>
      <w:numPr>
        <w:ilvl w:val="0"/>
        <w:numId w:val="5"/>
      </w:numPr>
      <w:spacing w:line="14" w:lineRule="exact"/>
      <w:ind w:firstLine="0" w:firstLineChars="0"/>
      <w:jc w:val="center"/>
    </w:pPr>
    <w:rPr>
      <w:rFonts w:eastAsia="黑体"/>
      <w:vanish/>
      <w:sz w:val="2"/>
    </w:rPr>
  </w:style>
  <w:style w:type="paragraph" w:customStyle="1" w:styleId="204">
    <w:name w:val="标准文件_引言一级条标题"/>
    <w:basedOn w:val="60"/>
    <w:next w:val="60"/>
    <w:qFormat/>
    <w:uiPriority w:val="0"/>
    <w:pPr>
      <w:numPr>
        <w:ilvl w:val="1"/>
        <w:numId w:val="8"/>
      </w:numPr>
      <w:spacing w:before="50" w:beforeLines="50" w:after="50" w:afterLines="50"/>
      <w:ind w:firstLineChars="0"/>
    </w:pPr>
    <w:rPr>
      <w:rFonts w:ascii="黑体" w:eastAsia="黑体"/>
    </w:rPr>
  </w:style>
  <w:style w:type="paragraph" w:customStyle="1" w:styleId="205">
    <w:name w:val="标准文件_引言二级条标题"/>
    <w:basedOn w:val="60"/>
    <w:next w:val="60"/>
    <w:qFormat/>
    <w:uiPriority w:val="0"/>
    <w:pPr>
      <w:numPr>
        <w:ilvl w:val="2"/>
        <w:numId w:val="8"/>
      </w:numPr>
      <w:spacing w:before="50" w:beforeLines="50" w:after="50" w:afterLines="50"/>
      <w:ind w:firstLineChars="0"/>
    </w:pPr>
    <w:rPr>
      <w:rFonts w:ascii="黑体" w:eastAsia="黑体"/>
    </w:rPr>
  </w:style>
  <w:style w:type="paragraph" w:customStyle="1" w:styleId="206">
    <w:name w:val="标准文件_引言三级条标题"/>
    <w:basedOn w:val="60"/>
    <w:next w:val="60"/>
    <w:qFormat/>
    <w:uiPriority w:val="0"/>
    <w:pPr>
      <w:numPr>
        <w:ilvl w:val="3"/>
        <w:numId w:val="8"/>
      </w:numPr>
      <w:spacing w:before="50" w:beforeLines="50" w:after="50" w:afterLines="50"/>
      <w:ind w:firstLineChars="0"/>
    </w:pPr>
    <w:rPr>
      <w:rFonts w:ascii="黑体" w:eastAsia="黑体"/>
    </w:rPr>
  </w:style>
  <w:style w:type="paragraph" w:customStyle="1" w:styleId="207">
    <w:name w:val="标准文件_引言四级条标题"/>
    <w:basedOn w:val="60"/>
    <w:next w:val="60"/>
    <w:qFormat/>
    <w:uiPriority w:val="0"/>
    <w:pPr>
      <w:numPr>
        <w:ilvl w:val="4"/>
        <w:numId w:val="8"/>
      </w:numPr>
      <w:spacing w:before="50" w:beforeLines="50" w:after="50" w:afterLines="50"/>
      <w:ind w:firstLineChars="0"/>
    </w:pPr>
    <w:rPr>
      <w:rFonts w:ascii="黑体" w:eastAsia="黑体"/>
    </w:rPr>
  </w:style>
  <w:style w:type="paragraph" w:customStyle="1" w:styleId="208">
    <w:name w:val="标准文件_引言五级条标题"/>
    <w:basedOn w:val="60"/>
    <w:next w:val="60"/>
    <w:qFormat/>
    <w:uiPriority w:val="0"/>
    <w:pPr>
      <w:numPr>
        <w:ilvl w:val="5"/>
        <w:numId w:val="8"/>
      </w:numPr>
      <w:spacing w:before="50" w:beforeLines="50" w:after="50" w:afterLines="50"/>
      <w:ind w:firstLineChars="0"/>
    </w:pPr>
    <w:rPr>
      <w:rFonts w:ascii="黑体" w:eastAsia="黑体"/>
    </w:rPr>
  </w:style>
  <w:style w:type="paragraph" w:customStyle="1" w:styleId="209">
    <w:name w:val="标准文件_注后"/>
    <w:basedOn w:val="60"/>
    <w:qFormat/>
    <w:uiPriority w:val="0"/>
    <w:pPr>
      <w:ind w:left="811" w:firstLine="0" w:firstLineChars="0"/>
    </w:pPr>
    <w:rPr>
      <w:sz w:val="18"/>
    </w:rPr>
  </w:style>
  <w:style w:type="paragraph" w:customStyle="1" w:styleId="210">
    <w:name w:val="标准文件_注X后"/>
    <w:basedOn w:val="60"/>
    <w:qFormat/>
    <w:uiPriority w:val="0"/>
    <w:pPr>
      <w:ind w:left="811" w:firstLine="0" w:firstLineChars="0"/>
    </w:pPr>
    <w:rPr>
      <w:sz w:val="18"/>
    </w:rPr>
  </w:style>
  <w:style w:type="paragraph" w:customStyle="1" w:styleId="211">
    <w:name w:val="标准文件_示例后"/>
    <w:basedOn w:val="60"/>
    <w:qFormat/>
    <w:uiPriority w:val="0"/>
    <w:pPr>
      <w:ind w:left="964" w:firstLine="0" w:firstLineChars="0"/>
    </w:pPr>
    <w:rPr>
      <w:sz w:val="18"/>
    </w:rPr>
  </w:style>
  <w:style w:type="paragraph" w:customStyle="1" w:styleId="212">
    <w:name w:val="标准文件_示例X后"/>
    <w:basedOn w:val="60"/>
    <w:link w:val="213"/>
    <w:qFormat/>
    <w:uiPriority w:val="0"/>
    <w:pPr>
      <w:ind w:left="1049" w:firstLine="0" w:firstLineChars="0"/>
    </w:pPr>
    <w:rPr>
      <w:sz w:val="18"/>
    </w:rPr>
  </w:style>
  <w:style w:type="character" w:customStyle="1" w:styleId="213">
    <w:name w:val="标准文件_示例X后 字符"/>
    <w:basedOn w:val="188"/>
    <w:link w:val="212"/>
    <w:qFormat/>
    <w:uiPriority w:val="0"/>
    <w:rPr>
      <w:rFonts w:ascii="宋体" w:hAnsi="Times New Roman"/>
      <w:sz w:val="18"/>
    </w:rPr>
  </w:style>
  <w:style w:type="paragraph" w:customStyle="1" w:styleId="214">
    <w:name w:val="标准文件_索引项"/>
    <w:basedOn w:val="60"/>
    <w:next w:val="60"/>
    <w:qFormat/>
    <w:uiPriority w:val="0"/>
    <w:pPr>
      <w:tabs>
        <w:tab w:val="right" w:leader="dot" w:pos="9356"/>
      </w:tabs>
      <w:ind w:left="210" w:hanging="210" w:firstLineChars="0"/>
      <w:jc w:val="left"/>
    </w:pPr>
  </w:style>
  <w:style w:type="paragraph" w:customStyle="1" w:styleId="215">
    <w:name w:val="标准文件_附录一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二级无标题"/>
    <w:basedOn w:val="83"/>
    <w:qFormat/>
    <w:uiPriority w:val="0"/>
    <w:pPr>
      <w:spacing w:before="0" w:beforeLines="0" w:after="0" w:afterLines="0" w:line="276" w:lineRule="auto"/>
      <w:outlineLvl w:val="9"/>
    </w:pPr>
    <w:rPr>
      <w:rFonts w:ascii="宋体" w:eastAsia="宋体"/>
    </w:rPr>
  </w:style>
  <w:style w:type="paragraph" w:customStyle="1" w:styleId="217">
    <w:name w:val="标准文件_附录三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四级无标题"/>
    <w:basedOn w:val="86"/>
    <w:qFormat/>
    <w:uiPriority w:val="0"/>
    <w:pPr>
      <w:spacing w:before="0" w:beforeLines="0" w:after="0" w:afterLines="0" w:line="276" w:lineRule="auto"/>
      <w:outlineLvl w:val="9"/>
    </w:pPr>
    <w:rPr>
      <w:rFonts w:ascii="宋体" w:eastAsia="宋体"/>
    </w:rPr>
  </w:style>
  <w:style w:type="paragraph" w:customStyle="1" w:styleId="219">
    <w:name w:val="标准文件_附录五级无标题"/>
    <w:basedOn w:val="88"/>
    <w:qFormat/>
    <w:uiPriority w:val="0"/>
    <w:pPr>
      <w:spacing w:before="0" w:beforeLines="0" w:after="0" w:afterLines="0" w:line="276" w:lineRule="auto"/>
      <w:outlineLvl w:val="9"/>
    </w:pPr>
    <w:rPr>
      <w:rFonts w:ascii="宋体" w:eastAsia="宋体"/>
    </w:rPr>
  </w:style>
  <w:style w:type="paragraph" w:customStyle="1" w:styleId="220">
    <w:name w:val="标准文件_引言一级无标题"/>
    <w:basedOn w:val="204"/>
    <w:next w:val="60"/>
    <w:qFormat/>
    <w:uiPriority w:val="0"/>
    <w:pPr>
      <w:spacing w:before="0" w:beforeLines="0" w:after="0" w:afterLines="0" w:line="276" w:lineRule="auto"/>
    </w:pPr>
    <w:rPr>
      <w:rFonts w:ascii="宋体" w:eastAsia="宋体"/>
    </w:rPr>
  </w:style>
  <w:style w:type="paragraph" w:customStyle="1" w:styleId="221">
    <w:name w:val="标准文件_引言二级无标题"/>
    <w:basedOn w:val="205"/>
    <w:next w:val="60"/>
    <w:qFormat/>
    <w:uiPriority w:val="0"/>
    <w:pPr>
      <w:spacing w:before="0" w:beforeLines="0" w:after="0" w:afterLines="0" w:line="276" w:lineRule="auto"/>
    </w:pPr>
    <w:rPr>
      <w:rFonts w:ascii="宋体" w:eastAsia="宋体"/>
    </w:rPr>
  </w:style>
  <w:style w:type="paragraph" w:customStyle="1" w:styleId="222">
    <w:name w:val="标准文件_引言三级无标题"/>
    <w:basedOn w:val="206"/>
    <w:qFormat/>
    <w:uiPriority w:val="0"/>
    <w:pPr>
      <w:spacing w:before="0" w:beforeLines="0" w:after="0" w:afterLines="0" w:line="276" w:lineRule="auto"/>
    </w:pPr>
    <w:rPr>
      <w:rFonts w:ascii="宋体" w:eastAsia="宋体"/>
    </w:rPr>
  </w:style>
  <w:style w:type="paragraph" w:customStyle="1" w:styleId="223">
    <w:name w:val="标准文件_引言四级无标题"/>
    <w:basedOn w:val="207"/>
    <w:next w:val="60"/>
    <w:qFormat/>
    <w:uiPriority w:val="0"/>
    <w:pPr>
      <w:spacing w:before="0" w:beforeLines="0" w:after="0" w:afterLines="0" w:line="276" w:lineRule="auto"/>
    </w:pPr>
    <w:rPr>
      <w:rFonts w:ascii="宋体" w:eastAsia="宋体"/>
    </w:rPr>
  </w:style>
  <w:style w:type="paragraph" w:customStyle="1" w:styleId="224">
    <w:name w:val="标准文件_引言五级无标题"/>
    <w:basedOn w:val="208"/>
    <w:next w:val="60"/>
    <w:qFormat/>
    <w:uiPriority w:val="0"/>
    <w:pPr>
      <w:spacing w:before="0" w:beforeLines="0" w:after="0" w:afterLines="0" w:line="276" w:lineRule="auto"/>
    </w:pPr>
    <w:rPr>
      <w:rFonts w:ascii="宋体" w:eastAsia="宋体"/>
    </w:rPr>
  </w:style>
  <w:style w:type="paragraph" w:customStyle="1" w:styleId="225">
    <w:name w:val="标准文件_索引标题"/>
    <w:basedOn w:val="67"/>
    <w:next w:val="60"/>
    <w:qFormat/>
    <w:uiPriority w:val="0"/>
    <w:rPr>
      <w:rFonts w:hAnsi="黑体"/>
    </w:rPr>
  </w:style>
  <w:style w:type="paragraph" w:customStyle="1" w:styleId="226">
    <w:name w:val="标准文件_脚注内容"/>
    <w:basedOn w:val="60"/>
    <w:qFormat/>
    <w:uiPriority w:val="0"/>
    <w:pPr>
      <w:ind w:left="400" w:leftChars="200" w:hanging="200" w:hangingChars="200"/>
    </w:pPr>
    <w:rPr>
      <w:sz w:val="15"/>
    </w:rPr>
  </w:style>
  <w:style w:type="paragraph" w:customStyle="1" w:styleId="227">
    <w:name w:val="标准文件_术语条一"/>
    <w:basedOn w:val="166"/>
    <w:next w:val="60"/>
    <w:qFormat/>
    <w:uiPriority w:val="0"/>
  </w:style>
  <w:style w:type="paragraph" w:customStyle="1" w:styleId="228">
    <w:name w:val="标准文件_术语条二"/>
    <w:basedOn w:val="169"/>
    <w:next w:val="60"/>
    <w:qFormat/>
    <w:uiPriority w:val="0"/>
  </w:style>
  <w:style w:type="paragraph" w:customStyle="1" w:styleId="229">
    <w:name w:val="标准文件_术语条三"/>
    <w:basedOn w:val="168"/>
    <w:next w:val="60"/>
    <w:qFormat/>
    <w:uiPriority w:val="0"/>
  </w:style>
  <w:style w:type="paragraph" w:customStyle="1" w:styleId="230">
    <w:name w:val="标准文件_术语条四"/>
    <w:basedOn w:val="171"/>
    <w:next w:val="60"/>
    <w:qFormat/>
    <w:uiPriority w:val="0"/>
  </w:style>
  <w:style w:type="paragraph" w:customStyle="1" w:styleId="231">
    <w:name w:val="标准文件_术语条五"/>
    <w:basedOn w:val="167"/>
    <w:next w:val="60"/>
    <w:qFormat/>
    <w:uiPriority w:val="0"/>
  </w:style>
  <w:style w:type="paragraph" w:customStyle="1" w:styleId="232">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3">
    <w:name w:val="发布"/>
    <w:basedOn w:val="31"/>
    <w:qFormat/>
    <w:uiPriority w:val="0"/>
    <w:rPr>
      <w:rFonts w:ascii="黑体" w:eastAsia="黑体"/>
      <w:spacing w:val="85"/>
      <w:w w:val="100"/>
      <w:position w:val="3"/>
      <w:sz w:val="28"/>
      <w:szCs w:val="28"/>
    </w:rPr>
  </w:style>
  <w:style w:type="character" w:customStyle="1" w:styleId="234">
    <w:name w:val="批注文字 Char"/>
    <w:basedOn w:val="31"/>
    <w:link w:val="13"/>
    <w:semiHidden/>
    <w:qFormat/>
    <w:uiPriority w:val="99"/>
    <w:rPr>
      <w:kern w:val="2"/>
      <w:sz w:val="21"/>
      <w:szCs w:val="21"/>
    </w:rPr>
  </w:style>
  <w:style w:type="character" w:customStyle="1" w:styleId="235">
    <w:name w:val="批注主题 Char"/>
    <w:basedOn w:val="234"/>
    <w:link w:val="28"/>
    <w:semiHidden/>
    <w:qFormat/>
    <w:uiPriority w:val="99"/>
    <w:rPr>
      <w:b/>
      <w:bCs/>
      <w:kern w:val="2"/>
      <w:sz w:val="21"/>
      <w:szCs w:val="21"/>
    </w:rPr>
  </w:style>
  <w:style w:type="paragraph" w:customStyle="1" w:styleId="236">
    <w:name w:val="修订1"/>
    <w:hidden/>
    <w:semiHidden/>
    <w:qFormat/>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0" Type="http://schemas.openxmlformats.org/officeDocument/2006/relationships/glossaryDocument" Target="glossary/document.xml"/><Relationship Id="rId4" Type="http://schemas.openxmlformats.org/officeDocument/2006/relationships/endnotes" Target="endnotes.xml"/><Relationship Id="rId39" Type="http://schemas.openxmlformats.org/officeDocument/2006/relationships/fontTable" Target="fontTable.xml"/><Relationship Id="rId38" Type="http://schemas.openxmlformats.org/officeDocument/2006/relationships/customXml" Target="../customXml/item2.xml"/><Relationship Id="rId37" Type="http://schemas.openxmlformats.org/officeDocument/2006/relationships/numbering" Target="numbering.xml"/><Relationship Id="rId36" Type="http://schemas.openxmlformats.org/officeDocument/2006/relationships/customXml" Target="../customXml/item1.xml"/><Relationship Id="rId35" Type="http://schemas.openxmlformats.org/officeDocument/2006/relationships/image" Target="media/image3.jpeg"/><Relationship Id="rId34" Type="http://schemas.openxmlformats.org/officeDocument/2006/relationships/image" Target="media/image2.emf"/><Relationship Id="rId33" Type="http://schemas.openxmlformats.org/officeDocument/2006/relationships/oleObject" Target="embeddings/oleObject1.bin"/><Relationship Id="rId32" Type="http://schemas.openxmlformats.org/officeDocument/2006/relationships/image" Target="media/image1.tiff"/><Relationship Id="rId31" Type="http://schemas.openxmlformats.org/officeDocument/2006/relationships/theme" Target="theme/theme1.xml"/><Relationship Id="rId30" Type="http://schemas.openxmlformats.org/officeDocument/2006/relationships/footer" Target="footer13.xml"/><Relationship Id="rId3" Type="http://schemas.openxmlformats.org/officeDocument/2006/relationships/footnotes" Target="footnotes.xml"/><Relationship Id="rId29" Type="http://schemas.openxmlformats.org/officeDocument/2006/relationships/footer" Target="footer12.xml"/><Relationship Id="rId28" Type="http://schemas.openxmlformats.org/officeDocument/2006/relationships/header" Target="header13.xml"/><Relationship Id="rId27" Type="http://schemas.openxmlformats.org/officeDocument/2006/relationships/header" Target="header12.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1765FEF45604B08815E03C60A1D55FA"/>
        <w:style w:val=""/>
        <w:category>
          <w:name w:val="常规"/>
          <w:gallery w:val="placeholder"/>
        </w:category>
        <w:types>
          <w:type w:val="bbPlcHdr"/>
        </w:types>
        <w:behaviors>
          <w:behavior w:val="content"/>
        </w:behaviors>
        <w:description w:val=""/>
        <w:guid w:val="{D9A4DCDB-7B0C-4E53-8491-8AB2117A4E8C}"/>
      </w:docPartPr>
      <w:docPartBody>
        <w:p w14:paraId="6900AFE2">
          <w:pPr>
            <w:pStyle w:val="5"/>
          </w:pPr>
          <w:r>
            <w:rPr>
              <w:rStyle w:val="4"/>
              <w:rFonts w:hint="eastAsia"/>
            </w:rPr>
            <w:t>单击或点击此处输入文字。</w:t>
          </w:r>
        </w:p>
      </w:docPartBody>
    </w:docPart>
    <w:docPart>
      <w:docPartPr>
        <w:name w:val="54A97A1ECB194B11A7319BC2E2E4617B"/>
        <w:style w:val=""/>
        <w:category>
          <w:name w:val="常规"/>
          <w:gallery w:val="placeholder"/>
        </w:category>
        <w:types>
          <w:type w:val="bbPlcHdr"/>
        </w:types>
        <w:behaviors>
          <w:behavior w:val="content"/>
        </w:behaviors>
        <w:description w:val=""/>
        <w:guid w:val="{3472423A-D2A8-4B53-8050-0176DB1062AB}"/>
      </w:docPartPr>
      <w:docPartBody>
        <w:p w14:paraId="5F268B20">
          <w:pPr>
            <w:pStyle w:val="6"/>
          </w:pPr>
          <w:r>
            <w:rPr>
              <w:rStyle w:val="4"/>
              <w:rFonts w:hint="eastAsia"/>
            </w:rPr>
            <w:t>选择一项。</w:t>
          </w:r>
        </w:p>
      </w:docPartBody>
    </w:docPart>
    <w:docPart>
      <w:docPartPr>
        <w:name w:val="AA7B731E11A148018EF8CDBE86FCF273"/>
        <w:style w:val=""/>
        <w:category>
          <w:name w:val="常规"/>
          <w:gallery w:val="placeholder"/>
        </w:category>
        <w:types>
          <w:type w:val="bbPlcHdr"/>
        </w:types>
        <w:behaviors>
          <w:behavior w:val="content"/>
        </w:behaviors>
        <w:description w:val=""/>
        <w:guid w:val="{E54C0D9F-5E3F-4407-B993-692B175A5650}"/>
      </w:docPartPr>
      <w:docPartBody>
        <w:p w14:paraId="679D4000">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1DC2"/>
    <w:rsid w:val="000117F7"/>
    <w:rsid w:val="000178B1"/>
    <w:rsid w:val="00035B98"/>
    <w:rsid w:val="00043BE3"/>
    <w:rsid w:val="0008297A"/>
    <w:rsid w:val="00097DDC"/>
    <w:rsid w:val="000B34C1"/>
    <w:rsid w:val="00116359"/>
    <w:rsid w:val="00117735"/>
    <w:rsid w:val="0012423A"/>
    <w:rsid w:val="001834EF"/>
    <w:rsid w:val="002051D3"/>
    <w:rsid w:val="0021455A"/>
    <w:rsid w:val="00261117"/>
    <w:rsid w:val="00263090"/>
    <w:rsid w:val="00275B77"/>
    <w:rsid w:val="00281DC2"/>
    <w:rsid w:val="00292A92"/>
    <w:rsid w:val="00293013"/>
    <w:rsid w:val="002D111B"/>
    <w:rsid w:val="00307C76"/>
    <w:rsid w:val="00324FA3"/>
    <w:rsid w:val="00356F77"/>
    <w:rsid w:val="00377DFA"/>
    <w:rsid w:val="00393887"/>
    <w:rsid w:val="00397135"/>
    <w:rsid w:val="003C4BD4"/>
    <w:rsid w:val="003D31B5"/>
    <w:rsid w:val="003F42E4"/>
    <w:rsid w:val="0040471F"/>
    <w:rsid w:val="00425A6B"/>
    <w:rsid w:val="004269C4"/>
    <w:rsid w:val="0045375C"/>
    <w:rsid w:val="004F6F1E"/>
    <w:rsid w:val="005241B0"/>
    <w:rsid w:val="00531826"/>
    <w:rsid w:val="00556E3C"/>
    <w:rsid w:val="00565FF3"/>
    <w:rsid w:val="005867E8"/>
    <w:rsid w:val="005B7017"/>
    <w:rsid w:val="005C1D9E"/>
    <w:rsid w:val="005C5C18"/>
    <w:rsid w:val="005C600C"/>
    <w:rsid w:val="006220E2"/>
    <w:rsid w:val="00657332"/>
    <w:rsid w:val="00662AAC"/>
    <w:rsid w:val="00664E1E"/>
    <w:rsid w:val="00700610"/>
    <w:rsid w:val="00702F8E"/>
    <w:rsid w:val="0072669D"/>
    <w:rsid w:val="0076240E"/>
    <w:rsid w:val="00787A53"/>
    <w:rsid w:val="007C6F26"/>
    <w:rsid w:val="007D4750"/>
    <w:rsid w:val="00812DF9"/>
    <w:rsid w:val="00826CB5"/>
    <w:rsid w:val="00842F15"/>
    <w:rsid w:val="00872DD4"/>
    <w:rsid w:val="00886168"/>
    <w:rsid w:val="008C38B7"/>
    <w:rsid w:val="008F464A"/>
    <w:rsid w:val="0093417A"/>
    <w:rsid w:val="009421E4"/>
    <w:rsid w:val="00950C9D"/>
    <w:rsid w:val="009F03C5"/>
    <w:rsid w:val="009F494B"/>
    <w:rsid w:val="00A0450B"/>
    <w:rsid w:val="00A11599"/>
    <w:rsid w:val="00A27BEA"/>
    <w:rsid w:val="00A5164A"/>
    <w:rsid w:val="00A55A22"/>
    <w:rsid w:val="00A56BD0"/>
    <w:rsid w:val="00AA06FE"/>
    <w:rsid w:val="00AF644E"/>
    <w:rsid w:val="00B47216"/>
    <w:rsid w:val="00B63707"/>
    <w:rsid w:val="00B7196E"/>
    <w:rsid w:val="00B80378"/>
    <w:rsid w:val="00B81A74"/>
    <w:rsid w:val="00BA1851"/>
    <w:rsid w:val="00BE6B8D"/>
    <w:rsid w:val="00C85958"/>
    <w:rsid w:val="00CA6B5C"/>
    <w:rsid w:val="00CB2E31"/>
    <w:rsid w:val="00CF1157"/>
    <w:rsid w:val="00D23330"/>
    <w:rsid w:val="00D42D8E"/>
    <w:rsid w:val="00D977AD"/>
    <w:rsid w:val="00E17C88"/>
    <w:rsid w:val="00E32708"/>
    <w:rsid w:val="00E47042"/>
    <w:rsid w:val="00E81CEE"/>
    <w:rsid w:val="00E820D7"/>
    <w:rsid w:val="00EE52F1"/>
    <w:rsid w:val="00F07F7B"/>
    <w:rsid w:val="00F35E13"/>
    <w:rsid w:val="00F546A4"/>
    <w:rsid w:val="00F85612"/>
    <w:rsid w:val="00F9373E"/>
    <w:rsid w:val="00FB1B74"/>
    <w:rsid w:val="00FC672B"/>
    <w:rsid w:val="00FE1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A1765FEF45604B08815E03C60A1D55F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54A97A1ECB194B11A7319BC2E2E4617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AA7B731E11A148018EF8CDBE86FCF273"/>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Version="6"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BD3CD0-9189-41AC-B387-1BFBDCD6708F}">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11</Pages>
  <Words>4507</Words>
  <Characters>5017</Characters>
  <Lines>47</Lines>
  <Paragraphs>13</Paragraphs>
  <TotalTime>19</TotalTime>
  <ScaleCrop>false</ScaleCrop>
  <LinksUpToDate>false</LinksUpToDate>
  <CharactersWithSpaces>5179</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2024-07-11T02:05:00Z</dcterms:created>
  <dc:creator>admin</dc:creator>
  <cp:lastModifiedBy>mmme</cp:lastModifiedBy>
  <cp:lastPrinted>2024-06-06T08:31:00Z</cp:lastPrinted>
  <dcterms:modified xsi:type="dcterms:W3CDTF">2024-08-09T07:57:21Z</dcterms:modified>
  <dc:title>地方标准</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2052-12.1.0.17147</vt:lpwstr>
  </property>
  <property fmtid="{D5CDD505-2E9C-101B-9397-08002B2CF9AE}" pid="16" name="ICV">
    <vt:lpwstr>4D185DF12E744C6D82C6F33F6F76F764_12</vt:lpwstr>
  </property>
</Properties>
</file>